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omylnie"/>
        <w:tabs>
          <w:tab w:val="left" w:pos="708" w:leader="none"/>
          <w:tab w:val="left" w:pos="5670" w:leader="none"/>
          <w:tab w:val="left" w:pos="6237" w:leader="none"/>
          <w:tab w:val="right" w:pos="8929" w:leader="none"/>
        </w:tabs>
        <w:spacing w:lineRule="auto" w:line="240" w:before="240" w:after="120"/>
        <w:ind w:left="6379" w:right="-284" w:hanging="0"/>
        <w:jc w:val="both"/>
        <w:rPr>
          <w:color w:val="000000" w:themeColor="text1"/>
          <w:sz w:val="22"/>
          <w:szCs w:val="22"/>
        </w:rPr>
      </w:pPr>
      <w:r>
        <w:rPr>
          <w:bCs/>
          <w:sz w:val="22"/>
          <w:szCs w:val="22"/>
        </w:rPr>
        <w:t>IFXIII.</w:t>
      </w:r>
      <w:r>
        <w:rPr>
          <w:bCs/>
          <w:color w:val="000000" w:themeColor="text1"/>
          <w:sz w:val="22"/>
          <w:szCs w:val="22"/>
        </w:rPr>
        <w:t>747.5.2024</w:t>
      </w:r>
    </w:p>
    <w:p>
      <w:pPr>
        <w:pStyle w:val="Normal"/>
        <w:spacing w:lineRule="auto" w:line="276" w:before="0" w:after="120"/>
        <w:ind w:right="-2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>OBWIESZCZENIE</w:t>
      </w:r>
    </w:p>
    <w:p>
      <w:pPr>
        <w:pStyle w:val="Normal"/>
        <w:spacing w:lineRule="auto" w:line="240" w:before="0" w:after="60"/>
        <w:ind w:right="-427" w:firstLine="42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Na podstawie art. 8 ust. 1 pkt 3 ustawy z dnia 24 kwietnia 2009 r. o inwestycjach w zakresie terminalu regazyfikacyjnego skroplonego gazu ziemnego w Świnoujściu (tj. Dz. U. z 2023 r. poz. 924 z późn.zm.) oraz </w:t>
        <w:br/>
        <w:t xml:space="preserve">art. 49 ustawy z dnia 14 czerwca 1960 r. – Kodeks postępowania administracyjnego (tj. Dz. U. z 2023 r. </w:t>
        <w:br/>
        <w:t>poz. 775 z późn. zm.) podaję do publicznej wiadomości, że na wniosek Polskiej Spółki Gazownictwa Sp. z o.o. w Tarnowie, reprezentowanej przez pełnomocnika</w:t>
      </w:r>
      <w:r>
        <w:rPr>
          <w:rFonts w:eastAsia="Times New Roman" w:cs="Times New Roman" w:ascii="Times New Roman" w:hAnsi="Times New Roman"/>
          <w:bCs/>
        </w:rPr>
        <w:t>, zostało wszczęte postępowanie administracyjne w sprawie o wydanie decyzji o ustaleniu lokalizacji inwestycji towarzyszącej inwestycji w zakresie terminalu regazyfikacyjnego skroplonego gazu ziemnego w Świnoujściu dla zadania inwestycyjnego pn.:</w:t>
      </w:r>
    </w:p>
    <w:p>
      <w:pPr>
        <w:pStyle w:val="Normal"/>
        <w:widowControl w:val="false"/>
        <w:spacing w:lineRule="auto" w:line="276" w:before="240" w:after="0"/>
        <w:jc w:val="center"/>
        <w:rPr>
          <w:rFonts w:ascii="Times New Roman" w:hAnsi="Times New Roman" w:eastAsia="Arial Unicode MS" w:cs="Times New Roman"/>
          <w:b/>
          <w:bCs/>
          <w:kern w:val="2"/>
        </w:rPr>
      </w:pPr>
      <w:r>
        <w:rPr>
          <w:rFonts w:eastAsia="Arial Unicode MS" w:cs="Times New Roman" w:ascii="Times New Roman" w:hAnsi="Times New Roman"/>
          <w:b/>
          <w:bCs/>
          <w:kern w:val="2"/>
        </w:rPr>
        <w:t>„</w:t>
      </w:r>
      <w:r>
        <w:rPr>
          <w:rFonts w:eastAsia="Arial Unicode MS" w:cs="Times New Roman" w:ascii="Times New Roman" w:hAnsi="Times New Roman"/>
          <w:b/>
          <w:bCs/>
          <w:kern w:val="2"/>
        </w:rPr>
        <w:t>Budowa gazociągu Tworzeń – Łagiewniki wraz z infrastrukturą niezbędną do jego obsługi na terenie województwa śląskiego. Odcinek AB”.</w:t>
      </w:r>
    </w:p>
    <w:p>
      <w:pPr>
        <w:pStyle w:val="Normal"/>
        <w:spacing w:lineRule="auto" w:line="240" w:before="0" w:after="60"/>
        <w:ind w:right="-427" w:firstLine="425"/>
        <w:jc w:val="both"/>
        <w:rPr>
          <w:rFonts w:ascii="Times New Roman" w:hAnsi="Times New Roman" w:eastAsia="Times New Roman" w:cs="Times New Roman"/>
          <w:bCs/>
        </w:rPr>
      </w:pPr>
      <w:r>
        <w:rPr>
          <w:rFonts w:eastAsia="Times New Roman" w:cs="Times New Roman" w:ascii="Times New Roman" w:hAnsi="Times New Roman"/>
          <w:bCs/>
        </w:rPr>
      </w:r>
    </w:p>
    <w:p>
      <w:pPr>
        <w:pStyle w:val="Normal"/>
        <w:spacing w:lineRule="auto" w:line="240"/>
        <w:ind w:right="-2" w:hanging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Inwestycją objęte są  nieruchomości, położone w : </w:t>
      </w:r>
    </w:p>
    <w:p>
      <w:pPr>
        <w:pStyle w:val="Normal"/>
        <w:ind w:right="-35" w:hanging="0"/>
        <w:jc w:val="both"/>
        <w:rPr>
          <w:rFonts w:ascii="Times New Roman" w:hAnsi="Times New Roman" w:eastAsia="Calibri" w:cs="Times New Roman"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 xml:space="preserve">Gmina: Dąbrowa Górnicza, </w:t>
        <w:tab/>
        <w:t>Obręb 0019 Dąbrowa Górnicza I</w:t>
      </w:r>
    </w:p>
    <w:tbl>
      <w:tblPr>
        <w:tblStyle w:val="GridTable1LightAccent2"/>
        <w:tblW w:w="100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9"/>
        <w:gridCol w:w="2339"/>
        <w:gridCol w:w="797"/>
        <w:gridCol w:w="2496"/>
        <w:gridCol w:w="859"/>
        <w:gridCol w:w="2434"/>
      </w:tblGrid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2013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KA1D/00037663/8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2223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KA1D/00012137/1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377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Arial Narrow" w:hAnsi="Arial Narrow" w:cs="Arial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KA1D/00051515/0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2025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KA1D/00037663/8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2224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KA1D/00037739/2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378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KA1D/00051515/0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2026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KA1D/00017510/5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257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KA1D/00002550/9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384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KA1D/00027601/3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206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KA1D/00032382/9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258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KA1D/00002550/9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390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KA1D/00027601/3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2065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KA1D/00023710/2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283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KA1D/00010647/5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2085/2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KA1D/00005160/9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285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KA1D/00013068/3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393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KA1D/00000388/8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2086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KA1D/00038055/0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286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KA1D/00013617/7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2107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KA1D/00054864/2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309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KA1D/00013454/6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395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2109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KA1D/00016619/2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KA1D/00028956/3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2111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KA1D/00012137/1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344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397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eastAsia="" w:cs="Arial" w:ascii="Arial Narrow" w:hAnsi="Arial Narrow"/>
                <w:b/>
                <w:bCs/>
                <w:color w:val="000000"/>
                <w:kern w:val="0"/>
                <w:szCs w:val="22"/>
                <w:lang w:val="pl-PL" w:eastAsia="pl-PL" w:bidi="ar-SA"/>
              </w:rPr>
              <w:t>2115/1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KA1D/00020670/8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345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KA1D/00010281/1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398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KA1D/00001225/5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2115/4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KA1D/00017683/8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350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KA1D/00058245/5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399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KA1D/00034498/9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2115/5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KA1D/00017683/8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352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KA1D/00058245/5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400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KA1D/00001225/5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KA1D/00013181/1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353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KA1D/00058245/5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401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KA1D/00034498/9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KA1D/00051515/0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363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KA1D/00067081/3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405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KA1D/00051515/0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KA1D/00013181/1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365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KA1D/00037491/1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406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2190/2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KA1D/00029016/9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366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KA1D/00037491/1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407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KA1D/00064101/9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2211/1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KA1D/00020670/8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367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KA1D/00037491/1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KA1D/00051515/0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2211/3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KA1D/00012137/1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368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Arial Narrow" w:hAnsi="Arial Narrow" w:cs="Arial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KA1D/00037491/1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419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KA1D/00013378/9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421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476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KA1D/00013181/1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540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KA1D/00025234/5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422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477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541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KA1D/00025234/5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423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KA1D/00011824/7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482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561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KA1D/00024721/9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442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569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KA1D/00059885/0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443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KA1D/00053497/1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603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KA1D/00006015/5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461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KA1D/00006953/2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KA1D/00025112/4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605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KA1D/00042647/8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462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KA1D/00013181/1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606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469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607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KA1D/00006015/5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470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608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KA1D/00035469/4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471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609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472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KA1D/00013181/1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KA1D/00035065/2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610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KA1D/00035469/4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2211/2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KA1D/00012137/1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</w:tbl>
    <w:p>
      <w:pPr>
        <w:pStyle w:val="Normal"/>
        <w:spacing w:before="240" w:after="160"/>
        <w:ind w:right="-35" w:hanging="0"/>
        <w:jc w:val="both"/>
        <w:rPr>
          <w:rFonts w:ascii="Times New Roman" w:hAnsi="Times New Roman" w:eastAsia="Calibri" w:cs="Times New Roman"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 xml:space="preserve">Gmina: Dąbrowa Górnicza, </w:t>
        <w:tab/>
        <w:t>Obręb 0020 Dąbrowa Górnicza II</w:t>
      </w:r>
    </w:p>
    <w:tbl>
      <w:tblPr>
        <w:tblStyle w:val="GridTable1LightAccent2"/>
        <w:tblW w:w="98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044"/>
        <w:gridCol w:w="2401"/>
        <w:gridCol w:w="750"/>
        <w:gridCol w:w="2398"/>
        <w:gridCol w:w="904"/>
        <w:gridCol w:w="2395"/>
      </w:tblGrid>
      <w:tr>
        <w:trPr>
          <w:trHeight w:val="70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1077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1260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3111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KA1D/00033684/3</w:t>
            </w:r>
          </w:p>
        </w:tc>
      </w:tr>
      <w:tr>
        <w:trPr>
          <w:trHeight w:val="3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1078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1282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KA1D/00041030/3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3238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2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1079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1476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KA1D/00029514/0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3239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KA1D/00039282/7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1080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KA1D/00035928/0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1477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KA1D/00005264/8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3240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KA1D/00054289/7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1082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1478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KA1D/00007106/7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3241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KA1D/00039282/7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1083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KA1D/00006666/3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1479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KA1D/00006407/0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3242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KA1D/00041753/7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1085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1480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KA1D/00005030/9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3243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KA1D/00039282/7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1086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KA1D/00032705/0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1481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KA1D/00002687/8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3244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KA1D/00039282/7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1088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KA1D/00024831/3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1485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KA1D/00025655/2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3460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KA1D/00010129/8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1090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1486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KW 2597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3461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KA1D/00060107/3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1091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KA1D/00024831/3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1491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KA1D/00027461/9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3463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KA1D/00005537/3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1092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KA1D/00013450/8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1493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410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KA1D/00059885/0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1096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KA1D/00024831/3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1583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KA1D/00008483/0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413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KA1D/00035295/3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1100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KA1D/00024831/3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1715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KA1D/00033397/4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414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KA1D/00059885/0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1101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2276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KA1D/00050416/9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415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KA1D/00035295/3</w:t>
            </w:r>
          </w:p>
        </w:tc>
      </w:tr>
      <w:tr>
        <w:trPr>
          <w:trHeight w:val="70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1104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2277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416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KA1D/00059885/0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1105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2412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417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KA1D/00042177/2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1108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KA1D/00024831/3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2416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KA1D/00052889/9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418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KA1D/00059885/0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1109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2885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419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KA1D/00013378/9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1113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KA1D/00009913/1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2892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420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KA1D/00059885/0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1114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2903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KA1D/00039352/9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430/1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KA1D/00055213/1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1198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KA1D/00013450/8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2908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KA1D/00011668/5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430/2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KA1D/00051573/4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1199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KA1D/00027242/8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2913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KA1D/00034846/4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431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KA1D/00042677/7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1200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KA1D/00027242/8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2914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435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KA1D/00055213/1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1201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2915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436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1202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KA1D/00027242/8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2916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KA1D/00033684/3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437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1203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KA1D/00009913/1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2921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438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1204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KA1D/00009913/1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3079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KA1D/00061642/2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439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KA1D/00024389/9</w:t>
            </w:r>
          </w:p>
        </w:tc>
      </w:tr>
      <w:tr>
        <w:trPr>
          <w:trHeight w:val="473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1258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3084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KA1D/00056847/1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440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KA1D/00009430/1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443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3092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KA1D/00052780/5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441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KA1D/00009430/1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442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KA1D/00024389/9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673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KA1D/00057923/5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9270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KA1D/00059970/3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444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791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KA1D/00014165/0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9272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KA1D/00062981/7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459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KA1D/00060092/4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855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KA1D/00033594/5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9273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462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KA1D/00051576/5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866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9275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KA1D/00065967/4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466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KA1D/00059885/0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867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KA1D/00042395/6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9277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468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868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9278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KA1D/00056868/4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469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KA1D/00032199/9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9250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9279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KA1D/00057516/9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470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KA1D/00056502/1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9265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9281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471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KA1D/00007952/2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9260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9282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472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2898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KA1D/00019963/9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560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KA1D/00057833/7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488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KA1D/00052103/6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9261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561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KA1D/00032912/4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559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KA1D/00032198/2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9266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669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KA1D/00006284/1</w:t>
            </w:r>
          </w:p>
        </w:tc>
      </w:tr>
      <w:tr>
        <w:trPr>
          <w:trHeight w:val="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9262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9263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KA1D/00029872/7</w:t>
            </w:r>
          </w:p>
        </w:tc>
      </w:tr>
    </w:tbl>
    <w:p>
      <w:pPr>
        <w:pStyle w:val="Normal"/>
        <w:spacing w:before="240" w:after="160"/>
        <w:ind w:right="-35" w:hanging="0"/>
        <w:jc w:val="both"/>
        <w:rPr>
          <w:rFonts w:ascii="Times New Roman" w:hAnsi="Times New Roman" w:eastAsia="Calibri" w:cs="Times New Roman"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 xml:space="preserve">Gmina: Dąbrowa Górnicza, </w:t>
        <w:tab/>
        <w:t>Obręb 0020 Dąbrowa Górnicza III</w:t>
      </w:r>
    </w:p>
    <w:tbl>
      <w:tblPr>
        <w:tblStyle w:val="GridTable1LightAccent1"/>
        <w:tblW w:w="100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9"/>
        <w:gridCol w:w="2339"/>
        <w:gridCol w:w="797"/>
        <w:gridCol w:w="2496"/>
        <w:gridCol w:w="859"/>
        <w:gridCol w:w="2434"/>
      </w:tblGrid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210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KA1D/00016167/8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300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KA1D/00019542/2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337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 w:val="false"/>
                <w:color w:val="000000"/>
              </w:rPr>
            </w:pPr>
            <w:r>
              <w:rPr>
                <w:rFonts w:eastAsia="" w:cs="Times New Roman" w:ascii="Times New Roman" w:hAnsi="Times New Roman"/>
                <w:b w:val="false"/>
                <w:bCs/>
                <w:color w:val="000000"/>
                <w:kern w:val="0"/>
                <w:szCs w:val="22"/>
                <w:lang w:val="pl-PL" w:eastAsia="pl-PL" w:bidi="ar-SA"/>
              </w:rPr>
              <w:t>KA1D/00019542/2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294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KA1D/00019542/2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KA1D/00017726/2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  <w:bookmarkStart w:id="0" w:name="_GoBack"/>
            <w:bookmarkStart w:id="1" w:name="_GoBack"/>
            <w:bookmarkEnd w:id="1"/>
          </w:p>
        </w:tc>
      </w:tr>
    </w:tbl>
    <w:p>
      <w:pPr>
        <w:pStyle w:val="Normal"/>
        <w:ind w:right="-35" w:hanging="0"/>
        <w:jc w:val="both"/>
        <w:rPr>
          <w:rFonts w:ascii="Times New Roman" w:hAnsi="Times New Roman" w:eastAsia="Calibri" w:cs="Times New Roman"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 xml:space="preserve">Gmina: Będzin, </w:t>
        <w:tab/>
        <w:t>Obręb 0001 Będzin</w:t>
      </w:r>
    </w:p>
    <w:tbl>
      <w:tblPr>
        <w:tblStyle w:val="GridTable1LightAccent1"/>
        <w:tblW w:w="100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9"/>
        <w:gridCol w:w="2339"/>
        <w:gridCol w:w="797"/>
        <w:gridCol w:w="2496"/>
        <w:gridCol w:w="859"/>
        <w:gridCol w:w="2434"/>
      </w:tblGrid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>a.m. 10: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b/>
                <w:bCs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b/>
                <w:bCs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b/>
                <w:bCs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100/2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KA1B/00007480/0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79/2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KA1B/00048930/9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KA1B/00060768/2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101/4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KA1B/00050315/9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80/2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KA1B/00029228/6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93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KA1B/00022370/7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111/2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96/2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KA1B/00007480/0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113/1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KA1B/00027368/5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97/2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KA1B/00007480/0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113/2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98/2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KA1B/00007480/0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114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99/2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KA1B/00007480/0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78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KA1B/00021870/5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 xml:space="preserve">a.m. 11: 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b/>
                <w:bCs/>
                <w:color w:val="000000"/>
                <w:kern w:val="0"/>
                <w:szCs w:val="22"/>
                <w:lang w:val="pl-PL" w:eastAsia="pl-PL" w:bidi="ar-SA"/>
              </w:rPr>
              <w:t>63/4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KA1B/00044520/4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>a.m. 12: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KA1B/00051213/1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50/3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KA1B/00044520/4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50/4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KA1B/00058786/7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>a.m.17: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KA1B/00002322/0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23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>a.m. 18: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78/5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KA1B/00017919/0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87/3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KA1B/00006251/9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91/1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80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KA1B/00032037/4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88/1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91/2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81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88/2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91/3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83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KA1B/00051172/1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88/3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84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KA1B/00051172/1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KA1B/00032037/4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93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98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95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>a.m. 6: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60/1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64/2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KA1B/00005919/3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83/2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KA1B/00059949/5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62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KA1B/00022871/9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83/6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KA1B/00059949/5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63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67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64/1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KA1B/00005919/3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>a.m. 7: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KA1B/00044520/4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61/2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40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KA1B/00031202/5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138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88/2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KA1B/00057611/3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93/1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KA1B/00017829/2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139/1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89/2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93/2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KA1B/00017829/2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90/2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143/4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KA1B/00060376/7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91/2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95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37/1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KA1B/00005919/3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92/1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38/2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KA1B/00011717/2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92/2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39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KA1B/00031202/5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>a.m. 8: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KA1B/00044520/4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KA1B/00055533/8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KA1B/00044520/4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u w:val="single"/>
                <w:lang w:val="pl-PL" w:eastAsia="pl-PL" w:bidi="ar-SA"/>
              </w:rPr>
              <w:t>a.m. 9: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19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KA1B/00022871/9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KA1B/00022871/9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  <w:tr>
        <w:trPr>
          <w:trHeight w:val="8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bCs/>
                <w:kern w:val="0"/>
                <w:szCs w:val="22"/>
                <w:lang w:val="pl-PL" w:eastAsia="pl-PL" w:bidi="ar-SA"/>
              </w:rPr>
              <w:t>6/2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 Narrow" w:hAnsi="Arial Narrow" w:cs="Arial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KA1B/00022871/9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 Narrow" w:hAnsi="Arial Narrow" w:cs="Arial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KA1B/00022871/9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Cs w:val="22"/>
                <w:lang w:val="pl-PL" w:eastAsia="pl-PL" w:bidi="ar-SA"/>
              </w:rPr>
              <w:t>8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Cs w:val="22"/>
                <w:lang w:val="pl-PL" w:eastAsia="pl-PL" w:bidi="ar-SA"/>
              </w:rPr>
              <w:t>Brak KW</w:t>
            </w:r>
          </w:p>
        </w:tc>
      </w:tr>
    </w:tbl>
    <w:p>
      <w:pPr>
        <w:pStyle w:val="Normal"/>
        <w:spacing w:lineRule="auto" w:line="240" w:before="240" w:after="160"/>
        <w:ind w:left="-142" w:right="-427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240" w:after="160"/>
        <w:ind w:left="-142" w:right="-427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Strony mogą zapoznać się z aktami sprawy po uprzednim uzgodnieniu telefonicznym z inspektorem </w:t>
        <w:br/>
        <w:t xml:space="preserve">prowadzącym sprawę pod numerem tel.: </w:t>
      </w:r>
      <w:r>
        <w:rPr>
          <w:rFonts w:cs="Times New Roman" w:ascii="Times New Roman" w:hAnsi="Times New Roman"/>
          <w:b/>
        </w:rPr>
        <w:t>32 20 77 521,</w:t>
      </w:r>
      <w:r>
        <w:rPr>
          <w:rFonts w:cs="Times New Roman" w:ascii="Times New Roman" w:hAnsi="Times New Roman"/>
        </w:rPr>
        <w:t xml:space="preserve"> w Wydziale Infrastruktury Śląskiego Urzędu </w:t>
        <w:br/>
        <w:t xml:space="preserve">Wojewódzkiego w Katowicach przy ul. Jagiellońskiej 25, pok. 522 (IV piętro), w godz. 9:00 – 14:00,  </w:t>
        <w:br/>
        <w:t xml:space="preserve">a ponadto, wypowiadać się co do zebranych dowodów i materiałów oraz składać wnioski </w:t>
        <w:br/>
        <w:t xml:space="preserve">i zastrzeżenia, </w:t>
      </w:r>
      <w:r>
        <w:rPr>
          <w:rFonts w:cs="Times New Roman" w:ascii="Times New Roman" w:hAnsi="Times New Roman"/>
          <w:b/>
        </w:rPr>
        <w:t>w terminie 14 dni od dnia opublikowania niniejszego obwieszczenia.</w:t>
      </w:r>
      <w:r>
        <w:rPr>
          <w:rFonts w:cs="Times New Roman" w:ascii="Times New Roman" w:hAnsi="Times New Roman"/>
        </w:rPr>
        <w:t xml:space="preserve"> Po tym terminie sprawa zostanie rozpatrzona w oparciu o posiadane dowody i materiały.</w:t>
      </w:r>
    </w:p>
    <w:p>
      <w:pPr>
        <w:pStyle w:val="Normal"/>
        <w:spacing w:lineRule="auto" w:line="240" w:before="0" w:after="0"/>
        <w:ind w:left="-142" w:right="-427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 przypadku gdy po doręczeniu zawiadomienia nastąpi zbycie własności lub prawa użytkowania wieczystego nieruchomości objętej wnioskiem o wydanie decyzji o ustaleniu lokalizacji inwestycji towarzyszącej inwestycji w zakresie terminalu regazyfikacyjnego lub przeniesienie własności lub prawa użytkowania wieczystego nieruchomości objętej wnioskiem, wskutek innego zdarzenia prawnego – nabywca i zbywca, są obowiązani </w:t>
        <w:br/>
        <w:t>do zgłoszenia właściwemu wojewodzie danych nowego właściciela lub użytkownika wieczystego. Niedokonanie zgłoszenia i prowadzenie postępowania bez udziału nowego właściciela lub użytkownika wieczystego nie stanowi podstawy do wznowienia postępowania.</w:t>
      </w:r>
    </w:p>
    <w:p>
      <w:pPr>
        <w:pStyle w:val="Normal"/>
        <w:suppressAutoHyphens w:val="false"/>
        <w:spacing w:lineRule="auto" w:line="240" w:before="240" w:after="0"/>
        <w:ind w:left="4962" w:hanging="0"/>
        <w:jc w:val="center"/>
        <w:rPr>
          <w:rFonts w:ascii="Times New Roman" w:hAnsi="Times New Roman" w:eastAsia="Calibri" w:cs="Times New Roman" w:eastAsiaTheme="minorHAnsi"/>
          <w:szCs w:val="20"/>
          <w:lang w:eastAsia="en-US"/>
        </w:rPr>
      </w:pPr>
      <w:r>
        <w:rPr>
          <w:rFonts w:eastAsia="Calibri" w:cs="Times New Roman" w:ascii="Times New Roman" w:hAnsi="Times New Roman" w:eastAsiaTheme="minorHAnsi"/>
          <w:szCs w:val="20"/>
          <w:lang w:eastAsia="en-US"/>
        </w:rPr>
        <w:t>Z up. WOJEWODY  ŚLĄSKIEGO</w:t>
      </w:r>
    </w:p>
    <w:p>
      <w:pPr>
        <w:pStyle w:val="Normal"/>
        <w:suppressAutoHyphens w:val="false"/>
        <w:spacing w:lineRule="auto" w:line="240" w:before="0" w:after="0"/>
        <w:ind w:left="4962" w:hanging="0"/>
        <w:jc w:val="center"/>
        <w:rPr>
          <w:rFonts w:ascii="Times New Roman" w:hAnsi="Times New Roman" w:eastAsia="Calibri" w:cs="Times New Roman" w:eastAsiaTheme="minorHAnsi"/>
          <w:szCs w:val="20"/>
          <w:lang w:eastAsia="en-US"/>
        </w:rPr>
      </w:pPr>
      <w:r>
        <w:rPr>
          <w:rFonts w:eastAsia="Calibri" w:cs="Times New Roman" w:eastAsiaTheme="minorHAnsi" w:ascii="Times New Roman" w:hAnsi="Times New Roman"/>
          <w:szCs w:val="20"/>
          <w:lang w:eastAsia="en-US"/>
        </w:rPr>
      </w:r>
    </w:p>
    <w:p>
      <w:pPr>
        <w:pStyle w:val="Normal"/>
        <w:suppressAutoHyphens w:val="false"/>
        <w:spacing w:lineRule="auto" w:line="240" w:before="0" w:after="0"/>
        <w:ind w:left="4962" w:hanging="0"/>
        <w:jc w:val="center"/>
        <w:rPr>
          <w:rFonts w:ascii="Times New Roman" w:hAnsi="Times New Roman" w:eastAsia="Calibri" w:cs="Times New Roman" w:eastAsiaTheme="minorHAnsi"/>
          <w:szCs w:val="20"/>
          <w:lang w:eastAsia="en-US"/>
        </w:rPr>
      </w:pPr>
      <w:r>
        <w:rPr>
          <w:rFonts w:eastAsia="Calibri" w:cs="Times New Roman" w:ascii="Times New Roman" w:hAnsi="Times New Roman" w:eastAsiaTheme="minorHAnsi"/>
          <w:szCs w:val="20"/>
          <w:lang w:eastAsia="en-US"/>
        </w:rPr>
        <w:t>Joanna Lanczek</w:t>
      </w:r>
    </w:p>
    <w:p>
      <w:pPr>
        <w:pStyle w:val="Normal"/>
        <w:suppressAutoHyphens w:val="false"/>
        <w:spacing w:lineRule="auto" w:line="240" w:before="0" w:after="0"/>
        <w:ind w:left="4962" w:hanging="0"/>
        <w:jc w:val="center"/>
        <w:rPr>
          <w:rFonts w:ascii="Times New Roman" w:hAnsi="Times New Roman" w:eastAsia="Calibri" w:cs="Times New Roman" w:eastAsiaTheme="minorHAnsi"/>
          <w:szCs w:val="20"/>
          <w:lang w:eastAsia="en-US"/>
        </w:rPr>
      </w:pPr>
      <w:r>
        <w:rPr>
          <w:rFonts w:eastAsia="Calibri" w:cs="Times New Roman" w:ascii="Times New Roman" w:hAnsi="Times New Roman" w:eastAsiaTheme="minorHAnsi"/>
          <w:szCs w:val="20"/>
          <w:lang w:eastAsia="en-US"/>
        </w:rPr>
        <w:t>Kierownik Oddziału ds. Inwestycji Publicznych</w:t>
      </w:r>
    </w:p>
    <w:p>
      <w:pPr>
        <w:pStyle w:val="Normal"/>
        <w:suppressAutoHyphens w:val="false"/>
        <w:spacing w:lineRule="auto" w:line="240" w:before="0" w:after="0"/>
        <w:ind w:left="4962" w:hanging="0"/>
        <w:jc w:val="center"/>
        <w:rPr>
          <w:rFonts w:ascii="Times New Roman" w:hAnsi="Times New Roman" w:eastAsia="Calibri" w:cs="Times New Roman" w:eastAsiaTheme="minorHAnsi"/>
          <w:szCs w:val="20"/>
          <w:lang w:eastAsia="en-US"/>
        </w:rPr>
      </w:pPr>
      <w:r>
        <w:rPr>
          <w:rFonts w:eastAsia="Calibri" w:cs="Times New Roman" w:ascii="Times New Roman" w:hAnsi="Times New Roman" w:eastAsiaTheme="minorHAnsi"/>
          <w:szCs w:val="20"/>
          <w:lang w:eastAsia="en-US"/>
        </w:rPr>
        <w:t>w Wydziale Infrastruktury</w:t>
      </w:r>
    </w:p>
    <w:p>
      <w:pPr>
        <w:pStyle w:val="Normal"/>
        <w:suppressAutoHyphens w:val="false"/>
        <w:spacing w:lineRule="auto" w:line="240" w:before="0" w:after="0"/>
        <w:ind w:left="4962" w:hanging="0"/>
        <w:jc w:val="center"/>
        <w:rPr>
          <w:rFonts w:ascii="Times New Roman" w:hAnsi="Times New Roman" w:eastAsia="Calibri" w:cs="Times New Roman" w:eastAsiaTheme="minorHAnsi"/>
          <w:i/>
          <w:i/>
          <w:sz w:val="20"/>
          <w:szCs w:val="20"/>
          <w:lang w:eastAsia="en-US"/>
        </w:rPr>
      </w:pPr>
      <w:r>
        <w:rPr>
          <w:rFonts w:eastAsia="Calibri" w:cs="Times New Roman" w:ascii="Times New Roman" w:hAnsi="Times New Roman" w:eastAsiaTheme="minorHAnsi"/>
          <w:i/>
          <w:sz w:val="20"/>
          <w:szCs w:val="20"/>
          <w:lang w:eastAsia="en-US"/>
        </w:rPr>
        <w:t>/podpisano kwalifikowanym podpisem elektronicznym/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type w:val="nextPage"/>
      <w:pgSz w:w="11906" w:h="16838"/>
      <w:pgMar w:left="1134" w:right="1418" w:gutter="0" w:header="567" w:top="1304" w:footer="284" w:bottom="1418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IDFont+F2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suppressLineNumbers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76416567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31</w:t>
        </w:r>
        <w:r>
          <w:rPr/>
          <w:fldChar w:fldCharType="end"/>
        </w:r>
      </w:p>
    </w:sdtContent>
  </w:sdt>
  <w:p>
    <w:pPr>
      <w:pStyle w:val="Domylnie"/>
      <w:spacing w:before="0" w:after="160"/>
      <w:jc w:val="right"/>
      <w:rPr>
        <w:sz w:val="16"/>
        <w:szCs w:val="16"/>
      </w:rPr>
    </w:pPr>
    <w:r>
      <w:rPr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uppressLineNumbers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uppressAutoHyphens w:val="false"/>
      <w:spacing w:lineRule="auto" w:line="240" w:before="60" w:after="120"/>
      <w:ind w:right="68" w:hanging="0"/>
      <w:rPr>
        <w:rFonts w:ascii="Times New Roman" w:hAnsi="Times New Roman" w:eastAsia="Times New Roman" w:cs="Times New Roman"/>
        <w:sz w:val="24"/>
        <w:szCs w:val="24"/>
      </w:rPr>
    </w:pPr>
    <w:r>
      <w:rPr>
        <w:rFonts w:eastAsia="Times New Roman" w:cs="Times New Roman" w:ascii="Times New Roman" w:hAnsi="Times New Roman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60" w:after="0"/>
      <w:ind w:right="68" w:firstLine="708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</w:rPr>
      <w:t xml:space="preserve"> </w:t>
    </w:r>
    <w:r>
      <w:rPr/>
      <w:object>
        <v:shapetype id="_x0000_tole_rId1" coordsize="21600,21600" o:spt="ole_rId1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1" type="_x0000_tole_rId1" style="width:44.45pt;height:42.55pt;mso-wrap-distance-right:0pt" filled="f" o:ole="">
          <v:imagedata r:id="rId2" o:title=""/>
        </v:shape>
        <o:OLEObject Type="Embed" ProgID="Paint.Picture" ShapeID="ole_rId1" DrawAspect="Content" ObjectID="_1757804483" r:id="rId1"/>
      </w:object>
    </w:r>
  </w:p>
  <w:p>
    <w:pPr>
      <w:pStyle w:val="Normal"/>
      <w:spacing w:before="60" w:after="0"/>
      <w:ind w:right="68" w:hanging="0"/>
      <w:rPr>
        <w:rFonts w:ascii="Times New Roman" w:hAnsi="Times New Roman" w:cs="Times New Roman"/>
      </w:rPr>
    </w:pPr>
    <w:r>
      <w:rPr>
        <w:rFonts w:cs="Times New Roman" w:ascii="Times New Roman" w:hAnsi="Times New Roman"/>
        <w:sz w:val="24"/>
        <w:szCs w:val="24"/>
      </w:rPr>
      <w:t>WOJEWODA ŚLĄSKI</w:t>
      <w:tab/>
      <w:tab/>
      <w:tab/>
      <w:tab/>
      <w:tab/>
      <w:tab/>
    </w:r>
    <w:r>
      <w:rPr>
        <w:rFonts w:cs="Times New Roman" w:ascii="Times New Roman" w:hAnsi="Times New Roman"/>
      </w:rPr>
      <w:t xml:space="preserve">Katowice, </w:t>
    </w:r>
    <w:bookmarkStart w:id="2" w:name="EzdDataPodpisu"/>
    <w:r>
      <w:rPr>
        <w:rFonts w:cs="Times New Roman" w:ascii="Times New Roman" w:hAnsi="Times New Roman"/>
      </w:rPr>
      <w:t>16-02-2024</w:t>
    </w:r>
    <w:bookmarkEnd w:id="2"/>
  </w:p>
</w:hdr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425"/>
  <w:evenAndOddHeader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703b6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2c20eb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qFormat/>
    <w:rsid w:val="00aa2dd2"/>
    <w:pPr>
      <w:suppressAutoHyphens w:val="false"/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bb49d4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Pr>
      <w:rFonts w:cs="Times New Roman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Pr>
      <w:rFonts w:cs="Times New Roman"/>
      <w:sz w:val="24"/>
    </w:rPr>
  </w:style>
  <w:style w:type="character" w:styleId="Czeinternetowe" w:customStyle="1">
    <w:name w:val="Hyperlink"/>
    <w:basedOn w:val="DefaultParagraphFont"/>
    <w:rPr>
      <w:rFonts w:cs="Times New Roman"/>
      <w:color w:val="0000FF"/>
      <w:u w:val="single"/>
      <w:lang w:val="pl-PL" w:eastAsia="pl-PL" w:bidi="pl-PL"/>
    </w:rPr>
  </w:style>
  <w:style w:type="character" w:styleId="Mocnowyrniony" w:customStyle="1">
    <w:name w:val="Mocno wyróżniony"/>
    <w:basedOn w:val="DefaultParagraphFont"/>
    <w:qFormat/>
    <w:rPr>
      <w:rFonts w:cs="Times New Roman"/>
      <w:b/>
      <w:bCs/>
    </w:rPr>
  </w:style>
  <w:style w:type="character" w:styleId="TekstdymkaZnak" w:customStyle="1">
    <w:name w:val="Tekst dymka Znak"/>
    <w:basedOn w:val="DefaultParagraphFont"/>
    <w:qFormat/>
    <w:rPr>
      <w:rFonts w:ascii="Tahoma" w:hAnsi="Tahoma" w:cs="Times New Roman"/>
      <w:sz w:val="16"/>
    </w:rPr>
  </w:style>
  <w:style w:type="character" w:styleId="H2" w:customStyle="1">
    <w:name w:val="h2"/>
    <w:basedOn w:val="DefaultParagraphFont"/>
    <w:qFormat/>
    <w:rPr>
      <w:rFonts w:cs="Times New Roman"/>
    </w:rPr>
  </w:style>
  <w:style w:type="character" w:styleId="Highlight1" w:customStyle="1">
    <w:name w:val="highlight1"/>
    <w:qFormat/>
    <w:rPr>
      <w:b/>
    </w:rPr>
  </w:style>
  <w:style w:type="character" w:styleId="TekstpodstawowyZnak" w:customStyle="1">
    <w:name w:val="Tekst podstawowy Znak"/>
    <w:basedOn w:val="DefaultParagraphFont"/>
    <w:qFormat/>
    <w:rPr>
      <w:rFonts w:eastAsia="Arial Unicode MS" w:cs="Times New Roman"/>
      <w:sz w:val="24"/>
      <w:lang w:eastAsia="ar-SA" w:bidi="ar-SA"/>
    </w:rPr>
  </w:style>
  <w:style w:type="character" w:styleId="Teksttreci2" w:customStyle="1">
    <w:name w:val="Tekst treści (2)_"/>
    <w:qFormat/>
    <w:rPr>
      <w:shd w:fill="FFFFFF" w:val="clear"/>
    </w:rPr>
  </w:style>
  <w:style w:type="character" w:styleId="TekstpodstawowyZnak1" w:customStyle="1">
    <w:name w:val="Tekst podstawowy Znak1"/>
    <w:basedOn w:val="DefaultParagraphFont"/>
    <w:uiPriority w:val="99"/>
    <w:semiHidden/>
    <w:qFormat/>
    <w:rsid w:val="00893d1f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c13c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2c13c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c13c8"/>
    <w:rPr>
      <w:b/>
      <w:bCs/>
      <w:sz w:val="20"/>
      <w:szCs w:val="20"/>
    </w:rPr>
  </w:style>
  <w:style w:type="character" w:styleId="Nagwek2Znak" w:customStyle="1">
    <w:name w:val="Nagłówek 2 Znak"/>
    <w:basedOn w:val="DefaultParagraphFont"/>
    <w:uiPriority w:val="9"/>
    <w:qFormat/>
    <w:rsid w:val="00aa2dd2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Nagwek1Znak" w:customStyle="1">
    <w:name w:val="Nagłówek 1 Znak"/>
    <w:basedOn w:val="DefaultParagraphFont"/>
    <w:uiPriority w:val="9"/>
    <w:qFormat/>
    <w:rsid w:val="002c20eb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Fontstyle01" w:customStyle="1">
    <w:name w:val="fontstyle01"/>
    <w:qFormat/>
    <w:rsid w:val="008b3869"/>
    <w:rPr>
      <w:rFonts w:ascii="CIDFont+F2" w:hAnsi="CIDFont+F2"/>
      <w:b w:val="false"/>
      <w:bCs w:val="false"/>
      <w:i w:val="false"/>
      <w:iCs w:val="false"/>
      <w:color w:val="000000"/>
      <w:sz w:val="16"/>
      <w:szCs w:val="16"/>
    </w:rPr>
  </w:style>
  <w:style w:type="character" w:styleId="Nagwek3Znak" w:customStyle="1">
    <w:name w:val="Nagłówek 3 Znak"/>
    <w:basedOn w:val="DefaultParagraphFont"/>
    <w:uiPriority w:val="9"/>
    <w:semiHidden/>
    <w:qFormat/>
    <w:rsid w:val="00bb49d4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rsid w:val="00893d1f"/>
    <w:pPr>
      <w:widowControl w:val="false"/>
      <w:spacing w:lineRule="auto" w:line="240" w:before="0" w:after="120"/>
    </w:pPr>
    <w:rPr>
      <w:rFonts w:eastAsia="Arial Unicode MS" w:cs="Times New Roman"/>
      <w:sz w:val="24"/>
      <w:lang w:eastAsia="ar-SA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Domylnie"/>
    <w:qFormat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Domylnie"/>
    <w:next w:val="Tretekstu"/>
    <w:uiPriority w:val="99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Domylnie" w:customStyle="1">
    <w:name w:val="Domyślnie"/>
    <w:qFormat/>
    <w:pPr>
      <w:widowControl/>
      <w:tabs>
        <w:tab w:val="clear" w:pos="709"/>
        <w:tab w:val="left" w:pos="708" w:leader="none"/>
      </w:tabs>
      <w:suppressAutoHyphens w:val="true"/>
      <w:bidi w:val="0"/>
      <w:spacing w:lineRule="auto" w:line="259" w:before="0" w:after="16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Sygnatura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Domylnie"/>
    <w:uiPriority w:val="99"/>
    <w:pPr>
      <w:suppressLineNumbers/>
      <w:tabs>
        <w:tab w:val="left" w:pos="708" w:leader="none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Domylnie"/>
    <w:uiPriority w:val="99"/>
    <w:qFormat/>
    <w:pPr/>
    <w:rPr>
      <w:rFonts w:ascii="Tahoma" w:hAnsi="Tahoma" w:cs="Tahoma"/>
      <w:sz w:val="17"/>
      <w:szCs w:val="17"/>
    </w:rPr>
  </w:style>
  <w:style w:type="paragraph" w:styleId="Tekstpodstawowy21" w:customStyle="1">
    <w:name w:val="Tekst podstawowy 21"/>
    <w:basedOn w:val="Domylnie"/>
    <w:qFormat/>
    <w:pPr>
      <w:widowControl w:val="false"/>
      <w:jc w:val="both"/>
    </w:pPr>
    <w:rPr>
      <w:rFonts w:ascii="Arial" w:hAnsi="Arial" w:eastAsia="Arial Unicode MS" w:cs="Arial"/>
      <w:lang w:eastAsia="ar-SA"/>
    </w:rPr>
  </w:style>
  <w:style w:type="paragraph" w:styleId="BalloonText">
    <w:name w:val="Balloon Text"/>
    <w:basedOn w:val="Domylnie"/>
    <w:qFormat/>
    <w:pPr/>
    <w:rPr>
      <w:rFonts w:ascii="Tahoma" w:hAnsi="Tahoma"/>
      <w:sz w:val="16"/>
      <w:szCs w:val="16"/>
    </w:rPr>
  </w:style>
  <w:style w:type="paragraph" w:styleId="Envelopeaddress">
    <w:name w:val="envelope address"/>
    <w:basedOn w:val="Domylnie"/>
    <w:qFormat/>
    <w:pPr>
      <w:ind w:left="2880" w:hanging="0"/>
    </w:pPr>
    <w:rPr>
      <w:rFonts w:ascii="Arial" w:hAnsi="Arial" w:cs="Arial"/>
    </w:rPr>
  </w:style>
  <w:style w:type="paragraph" w:styleId="Teksttreci21" w:customStyle="1">
    <w:name w:val="Tekst treści (2)"/>
    <w:basedOn w:val="Domylnie"/>
    <w:qFormat/>
    <w:pPr>
      <w:widowControl w:val="false"/>
      <w:shd w:val="clear" w:color="auto" w:fill="FFFFFF"/>
      <w:spacing w:lineRule="exact" w:line="266"/>
      <w:ind w:hanging="360"/>
    </w:pPr>
    <w:rPr>
      <w:sz w:val="22"/>
      <w:szCs w:val="22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2c13c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2c13c8"/>
    <w:pPr/>
    <w:rPr>
      <w:b/>
      <w:bCs/>
    </w:rPr>
  </w:style>
  <w:style w:type="paragraph" w:styleId="ListParagraph">
    <w:name w:val="List Paragraph"/>
    <w:basedOn w:val="Normal"/>
    <w:uiPriority w:val="99"/>
    <w:qFormat/>
    <w:rsid w:val="001d107c"/>
    <w:pPr>
      <w:spacing w:lineRule="auto" w:line="276" w:before="0" w:after="200"/>
      <w:ind w:left="720" w:hanging="0"/>
      <w:contextualSpacing/>
    </w:pPr>
    <w:rPr>
      <w:rFonts w:eastAsia="Calibri" w:eastAsiaTheme="minorHAnsi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104a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Siatkatabelijasna1">
    <w:name w:val="Siatka tabeli — jasna1"/>
    <w:basedOn w:val="TableNormal"/>
    <w:uiPriority w:val="99"/>
    <w:rsid w:val="002a379f"/>
    <w:tblPr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</w:style>
  <w:style w:type="table" w:customStyle="1" w:styleId="Zwykatabela11">
    <w:name w:val="Zwykła tabela 11"/>
    <w:basedOn w:val="TableNormal"/>
    <w:uiPriority w:val="99"/>
    <w:rsid w:val="002a379f"/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41">
    <w:name w:val="Zwykła tabela 41"/>
    <w:basedOn w:val="TableNormal"/>
    <w:uiPriority w:val="99"/>
    <w:rsid w:val="002a379f"/>
    <w:tblPr>
      <w:tblStyleRowBandSize w:val="1"/>
      <w:tblStyleColBandSize w:val="1"/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TableNormal"/>
    <w:uiPriority w:val="99"/>
    <w:rsid w:val="00284708"/>
    <w:tblPr>
      <w:tblStyleRowBandSize w:val="1"/>
      <w:tblStyleColBandSize w:val="1"/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F4B083" w:themeColor="accent2" w:sz="12" w:space="0"/>
        </w:tcBorders>
      </w:tcPr>
    </w:tblStylePr>
    <w:tblStylePr w:type="lastRow">
      <w:rPr>
        <w:b/>
        <w:bCs/>
      </w:rPr>
      <w:tblPr/>
      <w:tcPr>
        <w:tcBorders>
          <w:top w:val="double" w:color="F4B083" w:themeColor="accent2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GridTable1LightAccent1">
    <w:name w:val="Grid Table 1 Light Accent 1"/>
    <w:basedOn w:val="TableNormal"/>
    <w:uiPriority w:val="99"/>
    <w:rsid w:val="00cb2af8"/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037D9-3F18-477F-8F7A-CFCEB23F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LibreOffice/7.5.3.2$Windows_X86_64 LibreOffice_project/9f56dff12ba03b9acd7730a5a481eea045e468f3</Application>
  <AppVersion>15.0000</AppVersion>
  <DocSecurity>0</DocSecurity>
  <Pages>32</Pages>
  <Words>1055</Words>
  <Characters>7315</Characters>
  <CharactersWithSpaces>7746</CharactersWithSpaces>
  <Paragraphs>653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2024-02-16T10:30:00Z</dcterms:created>
  <dc:creator>budekk</dc:creator>
  <dc:description/>
  <dc:language>pl-PL</dc:language>
  <cp:lastModifiedBy>Agnieszka Księżarek</cp:lastModifiedBy>
  <cp:lastPrinted>2017-07-10T07:27:00Z</cp:lastPrinted>
  <dcterms:modified xsi:type="dcterms:W3CDTF">2024-02-16T11:08:00Z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