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omylnie"/>
        <w:tabs>
          <w:tab w:val="left" w:pos="708" w:leader="none"/>
          <w:tab w:val="right" w:pos="8929" w:leader="none"/>
        </w:tabs>
        <w:spacing w:before="240" w:after="160"/>
        <w:ind w:right="-284" w:firstLine="7088"/>
        <w:rPr/>
      </w:pPr>
      <w:r>
        <w:rPr>
          <w:sz w:val="22"/>
          <w:szCs w:val="22"/>
        </w:rPr>
        <w:t>IFXIII.747.5.2024</w:t>
      </w:r>
    </w:p>
    <w:p>
      <w:pPr>
        <w:pStyle w:val="Normal"/>
        <w:spacing w:lineRule="auto" w:line="240" w:before="240" w:after="120"/>
        <w:ind w:left="-284" w:right="-284" w:hanging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</w:rPr>
        <w:t>OBWIESZCZENIE</w:t>
      </w:r>
    </w:p>
    <w:p>
      <w:pPr>
        <w:pStyle w:val="NormalWeb"/>
        <w:tabs>
          <w:tab w:val="clear" w:pos="708"/>
        </w:tabs>
        <w:spacing w:lineRule="auto" w:line="276"/>
        <w:ind w:right="-286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1"/>
          <w:szCs w:val="21"/>
        </w:rPr>
        <w:t xml:space="preserve">Na podstawie art. 12 ust. 1 ustawy z dnia 24 kwietnia 2009 r. o inwestycjach w zakresie terminalu regazyfikacyjnego skroplonego gazu ziemnego w Świnoujściu (tekst jednolity: Dz. U. z 2024 r. poz. 551), zwanej dalej </w:t>
      </w:r>
      <w:r>
        <w:rPr>
          <w:rFonts w:cs="Times New Roman" w:ascii="Times New Roman" w:hAnsi="Times New Roman"/>
          <w:i/>
          <w:sz w:val="21"/>
          <w:szCs w:val="21"/>
        </w:rPr>
        <w:t>specustawą gazową</w:t>
      </w:r>
      <w:r>
        <w:rPr>
          <w:rFonts w:cs="Times New Roman" w:ascii="Times New Roman" w:hAnsi="Times New Roman"/>
          <w:sz w:val="21"/>
          <w:szCs w:val="21"/>
        </w:rPr>
        <w:t xml:space="preserve">, art. 49 ustawy z dnia 14 czerwca 1960 r. – Kodeks postępowania </w:t>
      </w:r>
      <w:r>
        <w:rPr>
          <w:rFonts w:cs="Times New Roman" w:ascii="Times New Roman" w:hAnsi="Times New Roman"/>
          <w:sz w:val="22"/>
          <w:szCs w:val="22"/>
        </w:rPr>
        <w:t xml:space="preserve">administracyjnego (tekst jednolity: </w:t>
        <w:br/>
      </w:r>
      <w:bookmarkStart w:id="0" w:name="_GoBack"/>
      <w:bookmarkEnd w:id="0"/>
      <w:r>
        <w:rPr>
          <w:rFonts w:cs="Times New Roman" w:ascii="Times New Roman" w:hAnsi="Times New Roman"/>
          <w:sz w:val="22"/>
          <w:szCs w:val="22"/>
        </w:rPr>
        <w:t xml:space="preserve">Dz. U. 2023 r. poz. 775 z późn. zm.), zwanej dalej </w:t>
      </w:r>
      <w:r>
        <w:rPr>
          <w:rFonts w:cs="Times New Roman" w:ascii="Times New Roman" w:hAnsi="Times New Roman"/>
          <w:i/>
          <w:sz w:val="22"/>
          <w:szCs w:val="22"/>
        </w:rPr>
        <w:t>k.p.a.</w:t>
      </w:r>
      <w:r>
        <w:rPr>
          <w:rFonts w:cs="Times New Roman" w:ascii="Times New Roman" w:hAnsi="Times New Roman"/>
          <w:sz w:val="22"/>
          <w:szCs w:val="22"/>
        </w:rPr>
        <w:t xml:space="preserve"> podaję do publicznej wiadomości, że po rozpoznaniu wniosku wniesionego przez Polską Spółkę Gazownictwa Sp. z o.o. w Tarnowie, działającą przez pełnomocnika, Wojewoda Śląski w dniu 12 kwietnia 2024 r. wydał decyzję nr 5/2024/GAZ, znak sprawy: IFXIII.747.5.2024 o ustaleniu lokalizacji inwestycji towarzyszącej inwestycji w zakresie terminalu regazyfikacyjnego skroplonego gazu ziemnego w Świnoujściu dla inwestycji pn.:</w:t>
      </w:r>
      <w:r>
        <w:rPr>
          <w:rFonts w:cs="Times New Roman" w:ascii="Times New Roman" w:hAnsi="Times New Roman"/>
          <w:sz w:val="21"/>
          <w:szCs w:val="21"/>
        </w:rPr>
        <w:t xml:space="preserve"> </w:t>
      </w:r>
    </w:p>
    <w:p>
      <w:pPr>
        <w:pStyle w:val="Normal"/>
        <w:spacing w:lineRule="auto" w:line="240"/>
        <w:jc w:val="center"/>
        <w:rPr>
          <w:rFonts w:ascii="Times New Roman" w:hAnsi="Times New Roman" w:eastAsia="Arial Unicode MS" w:cs="Times New Roman"/>
          <w:b/>
          <w:bCs/>
          <w:kern w:val="2"/>
          <w:lang w:eastAsia="zh-CN"/>
        </w:rPr>
      </w:pPr>
      <w:r>
        <w:rPr>
          <w:rFonts w:eastAsia="Arial Unicode MS" w:cs="Times New Roman" w:ascii="Times New Roman" w:hAnsi="Times New Roman"/>
          <w:b/>
          <w:bCs/>
          <w:kern w:val="2"/>
          <w:lang w:eastAsia="zh-CN"/>
        </w:rPr>
        <w:t>„</w:t>
      </w:r>
      <w:r>
        <w:rPr>
          <w:rFonts w:eastAsia="Arial Unicode MS" w:cs="Times New Roman" w:ascii="Times New Roman" w:hAnsi="Times New Roman"/>
          <w:b/>
          <w:bCs/>
          <w:kern w:val="2"/>
          <w:lang w:eastAsia="zh-CN"/>
        </w:rPr>
        <w:t>Budowa gazociągu Tworzeń – Łagiewniki wraz z infrastrukturą niezbędną do jego obsługi na terenie województwa śląskiego. Odcinek AB”.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Inwestycja będzie realizowana na niżej wskazanych nieruchomościach:</w:t>
      </w:r>
    </w:p>
    <w:p>
      <w:pPr>
        <w:pStyle w:val="Normal"/>
        <w:suppressAutoHyphens w:val="false"/>
        <w:spacing w:lineRule="auto" w:line="240"/>
        <w:ind w:right="-35" w:hanging="0"/>
        <w:jc w:val="both"/>
        <w:rPr>
          <w:rFonts w:ascii="Times New Roman" w:hAnsi="Times New Roman" w:eastAsia="Calibri" w:cs="Times New Roman"/>
          <w:b/>
          <w:bCs/>
        </w:rPr>
      </w:pPr>
      <w:r>
        <w:rPr>
          <w:rFonts w:eastAsia="Calibri" w:cs="Times New Roman" w:ascii="Times New Roman" w:hAnsi="Times New Roman"/>
          <w:b/>
          <w:bCs/>
        </w:rPr>
        <w:t xml:space="preserve">Gmina: Dąbrowa Górnicza, </w:t>
        <w:tab/>
        <w:t>Obręb 0019 Dąbrowa Górnicza I</w:t>
      </w:r>
    </w:p>
    <w:p>
      <w:pPr>
        <w:pStyle w:val="Normal"/>
        <w:suppressAutoHyphens w:val="false"/>
        <w:spacing w:lineRule="auto" w:line="240" w:before="0" w:after="24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 xml:space="preserve">2013, 2025, 2026, 206, 2065, 2085/2, 2086, 2107, 2109, 2111, 2115/1, 2115/4, 2115/5, 214, 215, 217, 2190/2, 2211/1, 2211/2, 2211/3, 2223, 2224, 257, 258, 283, 285, 286, 309, 344, 345, 350, 352, 353, 363, 365, 366, 367, 368, 377, 378, 384, 390, 391, 393, 394, 395, 396, 397, 398, 399, 400, 401, 405, 406, 407, 411, 419, 420, 421, 422, 423, 442, 443, 461, 462, 469, 470, 471, 472, 476, 477, 482, 531, 532, 533, 535, 536, 537, 538, 539, 540, 541, 561, 569, 603, 605, 606, 607, 608, 609, 610, </w:t>
      </w:r>
    </w:p>
    <w:p>
      <w:pPr>
        <w:pStyle w:val="Normal"/>
        <w:suppressAutoHyphens w:val="false"/>
        <w:spacing w:lineRule="auto" w:line="240"/>
        <w:ind w:right="-35" w:hanging="0"/>
        <w:jc w:val="both"/>
        <w:rPr>
          <w:rFonts w:ascii="Times New Roman" w:hAnsi="Times New Roman" w:eastAsia="Calibri" w:cs="Times New Roman"/>
          <w:b/>
          <w:bCs/>
        </w:rPr>
      </w:pPr>
      <w:r>
        <w:rPr>
          <w:rFonts w:eastAsia="Calibri" w:cs="Times New Roman" w:ascii="Times New Roman" w:hAnsi="Times New Roman"/>
          <w:b/>
          <w:bCs/>
        </w:rPr>
        <w:t xml:space="preserve">Gmina: Dąbrowa Górnicza, </w:t>
        <w:tab/>
        <w:t>Obręb 0020 Dąbrowa Górnicza II</w:t>
      </w:r>
    </w:p>
    <w:p>
      <w:pPr>
        <w:pStyle w:val="Normal"/>
        <w:suppressAutoHyphens w:val="false"/>
        <w:spacing w:lineRule="auto" w:line="240" w:before="0" w:after="24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 xml:space="preserve">1077, 1078, 1079, 1080, 1082, 1083, 1085, 1086, 1088, 1090, 1091, 1092, 1096, 1100, 1101, 1104, 1105, 1108, 1109, 1113, 1114, 1198, 1199, 1200, 1201, 1202, 1203, 1204, 1258, 1260, 1282, 1476, 1477, 1478, 1479, 1480, 1481, 1485, 1486, 1491, 1493, 1583, 1715, 2276, 2277, 2412, 2416, 2885, 2892, 2898, 2903, 2908, 2913, 2914, 2915, 2916, 2921, 3079, 3084, 3092, 3111, 3238, 3239, 3240, 3241, 3242, 3243, 3244, 3460, 3461, 3463, 410, 413, 414, 415, 416, 417, 418, 419, 420, 430/1, 430/2, 431, 435, 436, 437, 438, 439, 440, 441, 442, 443, 444, 459, 462, 466, 468, 469, 470, 471, 472, 488, 559, 560, 561, 669, 673, 791, 855, 866, 867, 868, 9250, 9260, 9261, 9262, 9263, 9265, 9266, 9270, 9272, 9273, 9275, 9277, 9278, 9279, 9281, 9282, </w:t>
      </w:r>
    </w:p>
    <w:p>
      <w:pPr>
        <w:pStyle w:val="Normal"/>
        <w:suppressAutoHyphens w:val="false"/>
        <w:spacing w:lineRule="auto" w:line="240"/>
        <w:ind w:right="-35" w:hanging="0"/>
        <w:jc w:val="both"/>
        <w:rPr>
          <w:rFonts w:ascii="Times New Roman" w:hAnsi="Times New Roman" w:eastAsia="Calibri" w:cs="Times New Roman"/>
          <w:b/>
          <w:bCs/>
        </w:rPr>
      </w:pPr>
      <w:r>
        <w:rPr>
          <w:rFonts w:eastAsia="Calibri" w:cs="Times New Roman" w:ascii="Times New Roman" w:hAnsi="Times New Roman"/>
          <w:b/>
          <w:bCs/>
        </w:rPr>
        <w:t xml:space="preserve">Gmina: Dąbrowa Górnicza, </w:t>
        <w:tab/>
        <w:t>Obręb 0021 Dąbrowa Górnicza III</w:t>
      </w:r>
    </w:p>
    <w:p>
      <w:pPr>
        <w:pStyle w:val="Normal"/>
        <w:suppressAutoHyphens w:val="false"/>
        <w:spacing w:lineRule="auto" w:line="240" w:before="0" w:after="24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 xml:space="preserve">210, 294, 300, 322, 337, </w:t>
      </w:r>
    </w:p>
    <w:p>
      <w:pPr>
        <w:pStyle w:val="Normal"/>
        <w:suppressAutoHyphens w:val="false"/>
        <w:spacing w:lineRule="auto" w:line="240"/>
        <w:ind w:right="-35" w:hanging="0"/>
        <w:jc w:val="both"/>
        <w:rPr>
          <w:rFonts w:ascii="Times New Roman" w:hAnsi="Times New Roman" w:eastAsia="Calibri" w:cs="Times New Roman"/>
          <w:b/>
          <w:bCs/>
        </w:rPr>
      </w:pPr>
      <w:r>
        <w:rPr>
          <w:rFonts w:eastAsia="Calibri" w:cs="Times New Roman" w:ascii="Times New Roman" w:hAnsi="Times New Roman"/>
          <w:b/>
          <w:bCs/>
        </w:rPr>
        <w:t>Gmina: Będzin,</w:t>
        <w:tab/>
        <w:t>Obręb 0001 Będzin</w:t>
      </w:r>
    </w:p>
    <w:p>
      <w:pPr>
        <w:pStyle w:val="Normal"/>
        <w:suppressAutoHyphens w:val="false"/>
        <w:spacing w:lineRule="auto" w:line="240" w:before="0" w:after="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</w:rPr>
        <w:t>a.m. 10:</w:t>
      </w:r>
      <w:r>
        <w:rPr>
          <w:rFonts w:eastAsia="Calibri" w:cs="Times New Roman" w:ascii="Times New Roman" w:hAnsi="Times New Roman"/>
        </w:rPr>
        <w:t xml:space="preserve"> 100/2, 101/4, 111/2, 113/1, 113/2, 114, 78, 79/2, 80/2, 82, 83, 84, 86, 87, 92, 93, 96/2, 97/2, 98/2, 99/2, </w:t>
      </w:r>
    </w:p>
    <w:p>
      <w:pPr>
        <w:pStyle w:val="Normal"/>
        <w:suppressAutoHyphens w:val="false"/>
        <w:spacing w:lineRule="auto" w:line="240" w:before="0" w:after="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</w:rPr>
        <w:t>a.m. 11:</w:t>
      </w:r>
      <w:r>
        <w:rPr>
          <w:rFonts w:eastAsia="Calibri" w:cs="Times New Roman" w:ascii="Times New Roman" w:hAnsi="Times New Roman"/>
        </w:rPr>
        <w:t xml:space="preserve"> 63/4,</w:t>
      </w:r>
    </w:p>
    <w:p>
      <w:pPr>
        <w:pStyle w:val="Normal"/>
        <w:suppressAutoHyphens w:val="false"/>
        <w:spacing w:lineRule="auto" w:line="240" w:before="0" w:after="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</w:rPr>
        <w:t>a.m. 12:</w:t>
      </w:r>
      <w:r>
        <w:rPr>
          <w:rFonts w:eastAsia="Calibri" w:cs="Times New Roman" w:ascii="Times New Roman" w:hAnsi="Times New Roman"/>
        </w:rPr>
        <w:t xml:space="preserve"> 1, 50/3, 50/4, </w:t>
      </w:r>
    </w:p>
    <w:p>
      <w:pPr>
        <w:pStyle w:val="Normal"/>
        <w:suppressAutoHyphens w:val="false"/>
        <w:spacing w:lineRule="auto" w:line="240" w:before="0" w:after="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</w:rPr>
        <w:t>a.m. 17:</w:t>
      </w:r>
      <w:r>
        <w:rPr>
          <w:rFonts w:eastAsia="Calibri" w:cs="Times New Roman" w:ascii="Times New Roman" w:hAnsi="Times New Roman"/>
        </w:rPr>
        <w:t xml:space="preserve"> 22, 23, 24, 25, 26, </w:t>
      </w:r>
    </w:p>
    <w:p>
      <w:pPr>
        <w:pStyle w:val="Normal"/>
        <w:suppressAutoHyphens w:val="false"/>
        <w:spacing w:lineRule="auto" w:line="240" w:before="0" w:after="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</w:rPr>
        <w:t>a.m. 18:</w:t>
      </w:r>
      <w:r>
        <w:rPr>
          <w:rFonts w:eastAsia="Calibri" w:cs="Times New Roman" w:ascii="Times New Roman" w:hAnsi="Times New Roman"/>
        </w:rPr>
        <w:t xml:space="preserve"> 78/5, 80, 81, 83, 84, 87/3, 88/1, 88/2, 88/3, 90, 91/1, 91/2, 91/3, 92, 93, 94, 95, 96, 98, </w:t>
      </w:r>
    </w:p>
    <w:p>
      <w:pPr>
        <w:pStyle w:val="Normal"/>
        <w:suppressAutoHyphens w:val="false"/>
        <w:spacing w:lineRule="auto" w:line="240" w:before="0" w:after="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</w:rPr>
        <w:t>a.m. 6:</w:t>
      </w:r>
      <w:r>
        <w:rPr>
          <w:rFonts w:eastAsia="Calibri" w:cs="Times New Roman" w:ascii="Times New Roman" w:hAnsi="Times New Roman"/>
        </w:rPr>
        <w:t xml:space="preserve"> 60/1, 62, 63, 64/1, 64/2, 65, 66, 67, 83/2, 83/6, </w:t>
      </w:r>
    </w:p>
    <w:p>
      <w:pPr>
        <w:pStyle w:val="Normal"/>
        <w:suppressAutoHyphens w:val="false"/>
        <w:spacing w:lineRule="auto" w:line="240" w:before="0" w:after="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</w:rPr>
        <w:t>a.m. 7:</w:t>
      </w:r>
      <w:r>
        <w:rPr>
          <w:rFonts w:eastAsia="Calibri" w:cs="Times New Roman" w:ascii="Times New Roman" w:hAnsi="Times New Roman"/>
        </w:rPr>
        <w:t xml:space="preserve"> 1, 138, 139/1, 140, 143/4, 37/1, 38/2, 39, 40, 61/2, 88/2, 89/2, 90/2, 91/2, 92/1, 92/2, 93/1, 93/2, 94, 95, 96, </w:t>
      </w:r>
    </w:p>
    <w:p>
      <w:pPr>
        <w:pStyle w:val="Normal"/>
        <w:suppressAutoHyphens w:val="false"/>
        <w:spacing w:lineRule="auto" w:line="240" w:before="0" w:after="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</w:rPr>
        <w:t>a.m. 8:</w:t>
      </w:r>
      <w:r>
        <w:rPr>
          <w:rFonts w:eastAsia="Calibri" w:cs="Times New Roman" w:ascii="Times New Roman" w:hAnsi="Times New Roman"/>
        </w:rPr>
        <w:t xml:space="preserve"> 1, 38, 8, </w:t>
      </w:r>
    </w:p>
    <w:p>
      <w:pPr>
        <w:pStyle w:val="Normal"/>
        <w:suppressAutoHyphens w:val="false"/>
        <w:spacing w:lineRule="auto" w:line="240" w:before="0" w:after="240"/>
        <w:ind w:right="-35" w:hanging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  <w:b/>
        </w:rPr>
        <w:t>a.m. 9:</w:t>
      </w:r>
      <w:r>
        <w:rPr>
          <w:rFonts w:eastAsia="Calibri" w:cs="Times New Roman" w:ascii="Times New Roman" w:hAnsi="Times New Roman"/>
        </w:rPr>
        <w:t xml:space="preserve"> 19, 20, 4, 6/2, 7, 8.</w:t>
      </w:r>
    </w:p>
    <w:p>
      <w:pPr>
        <w:pStyle w:val="Normal"/>
        <w:spacing w:lineRule="auto" w:line="240" w:before="240" w:after="60"/>
        <w:ind w:right="-284" w:hanging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Decyzja podlega natychmiastowemu wykonaniu.</w:t>
      </w:r>
    </w:p>
    <w:p>
      <w:pPr>
        <w:pStyle w:val="Normal"/>
        <w:spacing w:lineRule="auto" w:line="240" w:before="0" w:after="80"/>
        <w:ind w:right="-284" w:hanging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Decyzją został określony sposób, zakres i termin korzystania z nieruchomości.</w:t>
      </w:r>
    </w:p>
    <w:p>
      <w:pPr>
        <w:pStyle w:val="Normal"/>
        <w:spacing w:lineRule="auto" w:line="240" w:before="0" w:after="80"/>
        <w:jc w:val="both"/>
        <w:rPr>
          <w:rFonts w:ascii="Times New Roman" w:hAnsi="Times New Roman" w:cs="Times New Roman"/>
          <w:iCs/>
        </w:rPr>
      </w:pPr>
      <w:r>
        <w:rPr>
          <w:rFonts w:cs="Times New Roman" w:ascii="Times New Roman" w:hAnsi="Times New Roman"/>
          <w:b/>
        </w:rPr>
        <w:t xml:space="preserve">W decyzji oznaczono nieruchomości, w stosunku do których decyzja o ustaleniu lokalizacji inwestycji wywoła skutek, o którym mowa w art. 24 ust. 1, 1b, 1c </w:t>
      </w:r>
      <w:r>
        <w:rPr>
          <w:rFonts w:cs="Times New Roman" w:ascii="Times New Roman" w:hAnsi="Times New Roman"/>
          <w:b/>
          <w:i/>
        </w:rPr>
        <w:t>specustawy gazowej</w:t>
      </w:r>
      <w:r>
        <w:rPr>
          <w:rFonts w:cs="Times New Roman" w:ascii="Times New Roman" w:hAnsi="Times New Roman"/>
          <w:b/>
        </w:rPr>
        <w:t xml:space="preserve"> </w:t>
      </w:r>
      <w:r>
        <w:rPr>
          <w:rFonts w:cs="Times New Roman" w:ascii="Times New Roman" w:hAnsi="Times New Roman"/>
        </w:rPr>
        <w:t xml:space="preserve">tj. ograniczenie nieruchomości w korzystaniu na czas określony i nieokreślony w </w:t>
      </w:r>
      <w:r>
        <w:rPr>
          <w:rFonts w:cs="Times New Roman" w:ascii="Times New Roman" w:hAnsi="Times New Roman"/>
          <w:iCs/>
        </w:rPr>
        <w:t xml:space="preserve">celu zapewnienia prawa do wejścia na teren nieruchomości dla prowadzenia na nich budowy inwestycji, a także prac związanych z rozbiórką, przebudową, zmianą sposobu użytkowania, utrzymaniem, eksploatacją, użytkowaniem, remontami oraz usuwaniem awarii. </w:t>
      </w:r>
    </w:p>
    <w:p>
      <w:pPr>
        <w:pStyle w:val="Normal"/>
        <w:spacing w:lineRule="auto" w:line="276" w:before="120" w:after="160"/>
        <w:ind w:right="-286" w:hanging="0"/>
        <w:rPr>
          <w:rFonts w:ascii="Times New Roman" w:hAnsi="Times New Roman"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Treść decyzji została opublikowana</w:t>
      </w:r>
      <w:r>
        <w:rPr>
          <w:rFonts w:ascii="Times New Roman" w:hAnsi="Times New Roman"/>
          <w:bCs/>
          <w:sz w:val="21"/>
          <w:szCs w:val="21"/>
        </w:rPr>
        <w:t xml:space="preserve"> w Biuletynie Informacji Publicznej Śląskiego Urzędu Wojewódzkiego </w:t>
        <w:br/>
        <w:t xml:space="preserve">w Katowicach w zakładce </w:t>
      </w:r>
      <w:r>
        <w:rPr>
          <w:rFonts w:ascii="Times New Roman" w:hAnsi="Times New Roman"/>
          <w:b/>
          <w:bCs/>
          <w:sz w:val="21"/>
          <w:szCs w:val="21"/>
        </w:rPr>
        <w:t>„Inwestycje publiczne - Informacja publiczna o wydanych rozstrzygnięciach”.</w:t>
      </w:r>
    </w:p>
    <w:p>
      <w:pPr>
        <w:pStyle w:val="ListParagraph"/>
        <w:spacing w:before="120" w:after="120"/>
        <w:ind w:left="720" w:right="-1" w:hanging="0"/>
        <w:contextualSpacing w:val="false"/>
        <w:jc w:val="center"/>
        <w:rPr>
          <w:rFonts w:ascii="Times New Roman" w:hAnsi="Times New Roman" w:eastAsia="Times New Roman"/>
          <w:b/>
          <w:bCs/>
        </w:rPr>
      </w:pPr>
      <w:r>
        <w:rPr>
          <w:rFonts w:eastAsia="Times New Roman" w:ascii="Times New Roman" w:hAnsi="Times New Roman"/>
          <w:b/>
          <w:bCs/>
        </w:rPr>
      </w:r>
    </w:p>
    <w:p>
      <w:pPr>
        <w:pStyle w:val="ListParagraph"/>
        <w:spacing w:before="120" w:after="120"/>
        <w:ind w:left="720" w:right="-1" w:hanging="0"/>
        <w:contextualSpacing w:val="false"/>
        <w:jc w:val="center"/>
        <w:rPr>
          <w:rFonts w:ascii="Times New Roman" w:hAnsi="Times New Roman" w:eastAsia="Times New Roman"/>
          <w:b/>
          <w:bCs/>
        </w:rPr>
      </w:pPr>
      <w:r>
        <w:rPr>
          <w:rFonts w:eastAsia="Times New Roman" w:ascii="Times New Roman" w:hAnsi="Times New Roman"/>
          <w:b/>
          <w:bCs/>
        </w:rPr>
        <w:t>WAŻNE INFORMACJE DODATKOWE</w:t>
      </w:r>
    </w:p>
    <w:p>
      <w:pPr>
        <w:pStyle w:val="Normal"/>
        <w:numPr>
          <w:ilvl w:val="0"/>
          <w:numId w:val="2"/>
        </w:numPr>
        <w:spacing w:lineRule="auto" w:line="240"/>
        <w:ind w:left="284" w:right="-34" w:hanging="284"/>
        <w:jc w:val="both"/>
        <w:rPr>
          <w:rFonts w:ascii="Times New Roman" w:hAnsi="Times New Roman" w:eastAsia="Times New Roman" w:cs="Times New Roman"/>
          <w:bCs/>
          <w:sz w:val="21"/>
          <w:szCs w:val="21"/>
          <w:lang w:eastAsia="en-US"/>
        </w:rPr>
      </w:pPr>
      <w:r>
        <w:rPr>
          <w:rFonts w:eastAsia="Times New Roman" w:cs="Times New Roman" w:ascii="Times New Roman" w:hAnsi="Times New Roman"/>
          <w:iCs/>
          <w:sz w:val="21"/>
          <w:szCs w:val="21"/>
          <w:lang w:eastAsia="en-US"/>
        </w:rPr>
        <w:t xml:space="preserve">Informuję </w:t>
      </w:r>
      <w:r>
        <w:rPr>
          <w:rFonts w:eastAsia="Times New Roman" w:cs="Times New Roman" w:ascii="Times New Roman" w:hAnsi="Times New Roman"/>
          <w:sz w:val="21"/>
          <w:szCs w:val="21"/>
          <w:lang w:eastAsia="en-US"/>
        </w:rPr>
        <w:t xml:space="preserve">o możliwości zapoznania się z decyzją </w:t>
      </w:r>
      <w:r>
        <w:rPr>
          <w:rFonts w:eastAsia="Times New Roman" w:cs="Times New Roman" w:ascii="Times New Roman" w:hAnsi="Times New Roman"/>
          <w:iCs/>
          <w:sz w:val="21"/>
          <w:szCs w:val="21"/>
          <w:lang w:eastAsia="ar-SA"/>
        </w:rPr>
        <w:t xml:space="preserve">oraz aktami sprawy po uprzednim uzgodnieniu telefonicznym z inspektorem prowadzącym sprawę </w:t>
      </w:r>
      <w:r>
        <w:rPr>
          <w:rFonts w:eastAsia="Times New Roman" w:cs="Times New Roman" w:ascii="Times New Roman" w:hAnsi="Times New Roman"/>
          <w:iCs/>
          <w:sz w:val="21"/>
          <w:szCs w:val="21"/>
          <w:lang w:eastAsia="en-US"/>
        </w:rPr>
        <w:t xml:space="preserve">w Wydziale Infrastruktury </w:t>
      </w:r>
      <w:r>
        <w:rPr>
          <w:rFonts w:eastAsia="Times New Roman" w:cs="Times New Roman" w:ascii="Times New Roman" w:hAnsi="Times New Roman"/>
          <w:sz w:val="21"/>
          <w:szCs w:val="21"/>
          <w:lang w:eastAsia="en-US"/>
        </w:rPr>
        <w:t>Śląskiego Urzędu Wojewódzkiego w Katowicach</w:t>
      </w:r>
      <w:r>
        <w:rPr>
          <w:rFonts w:eastAsia="Times New Roman" w:cs="Times New Roman" w:ascii="Times New Roman" w:hAnsi="Times New Roman"/>
          <w:iCs/>
          <w:sz w:val="21"/>
          <w:szCs w:val="21"/>
          <w:lang w:eastAsia="en-US"/>
        </w:rPr>
        <w:t xml:space="preserve">, ul. Jagiellońska 25, pok. 522, </w:t>
      </w:r>
      <w:r>
        <w:rPr>
          <w:rFonts w:eastAsia="Times New Roman" w:cs="Times New Roman" w:ascii="Times New Roman" w:hAnsi="Times New Roman"/>
          <w:iCs/>
          <w:sz w:val="21"/>
          <w:szCs w:val="21"/>
          <w:lang w:eastAsia="ar-SA"/>
        </w:rPr>
        <w:t>pod numerem telefonu: (32) 20 77 521</w:t>
        <w:br/>
        <w:t xml:space="preserve">w </w:t>
      </w:r>
      <w:r>
        <w:rPr>
          <w:rFonts w:eastAsia="Times New Roman" w:cs="Times New Roman" w:ascii="Times New Roman" w:hAnsi="Times New Roman"/>
          <w:iCs/>
          <w:sz w:val="21"/>
          <w:szCs w:val="21"/>
          <w:lang w:eastAsia="en-US"/>
        </w:rPr>
        <w:t>godzinach od 9</w:t>
      </w:r>
      <w:r>
        <w:rPr>
          <w:rFonts w:eastAsia="Times New Roman" w:cs="Times New Roman" w:ascii="Times New Roman" w:hAnsi="Times New Roman"/>
          <w:iCs/>
          <w:sz w:val="21"/>
          <w:szCs w:val="21"/>
          <w:vertAlign w:val="superscript"/>
          <w:lang w:eastAsia="en-US"/>
        </w:rPr>
        <w:t xml:space="preserve">00 </w:t>
      </w:r>
      <w:r>
        <w:rPr>
          <w:rFonts w:eastAsia="Times New Roman" w:cs="Times New Roman" w:ascii="Times New Roman" w:hAnsi="Times New Roman"/>
          <w:iCs/>
          <w:sz w:val="21"/>
          <w:szCs w:val="21"/>
          <w:lang w:eastAsia="en-US"/>
        </w:rPr>
        <w:t xml:space="preserve"> do 14</w:t>
      </w:r>
      <w:r>
        <w:rPr>
          <w:rFonts w:eastAsia="Times New Roman" w:cs="Times New Roman" w:ascii="Times New Roman" w:hAnsi="Times New Roman"/>
          <w:iCs/>
          <w:sz w:val="21"/>
          <w:szCs w:val="21"/>
          <w:vertAlign w:val="superscript"/>
          <w:lang w:eastAsia="en-US"/>
        </w:rPr>
        <w:t>00</w:t>
      </w:r>
      <w:r>
        <w:rPr>
          <w:rFonts w:eastAsia="Times New Roman" w:cs="Times New Roman" w:ascii="Times New Roman" w:hAnsi="Times New Roman"/>
          <w:bCs/>
          <w:sz w:val="21"/>
          <w:szCs w:val="21"/>
          <w:lang w:eastAsia="en-US"/>
        </w:rPr>
        <w:t>.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284" w:right="-35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>Od decyzji służy stronom odwołanie do Ministra Rozwoju i Technologii za pośrednictwem Wojewody Śląskiego, w terminie: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426" w:right="-35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>7 dni od jej doręczenia stronie, albo</w:t>
      </w:r>
    </w:p>
    <w:p>
      <w:pPr>
        <w:pStyle w:val="Normal"/>
        <w:numPr>
          <w:ilvl w:val="0"/>
          <w:numId w:val="1"/>
        </w:numPr>
        <w:spacing w:lineRule="auto" w:line="240"/>
        <w:ind w:left="426" w:right="-3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14 dni od dnia, w którym zawiadomienie o wydaniu decyzji w drodze obwieszczenia uważa się za dokonane. </w:t>
      </w:r>
    </w:p>
    <w:p>
      <w:pPr>
        <w:pStyle w:val="Normal"/>
        <w:numPr>
          <w:ilvl w:val="0"/>
          <w:numId w:val="2"/>
        </w:numPr>
        <w:spacing w:lineRule="auto" w:line="240"/>
        <w:ind w:left="284" w:right="-34" w:hanging="284"/>
        <w:jc w:val="both"/>
        <w:rPr>
          <w:rFonts w:ascii="Times New Roman" w:hAnsi="Times New Roman" w:eastAsia="Times New Roman" w:cs="Times New Roman"/>
          <w:bCs/>
          <w:iCs/>
          <w:sz w:val="21"/>
          <w:szCs w:val="21"/>
          <w:lang w:eastAsia="ar-SA"/>
        </w:rPr>
      </w:pPr>
      <w:r>
        <w:rPr>
          <w:rFonts w:eastAsia="Times New Roman" w:cs="Times New Roman" w:ascii="Times New Roman" w:hAnsi="Times New Roman"/>
          <w:iCs/>
          <w:sz w:val="21"/>
          <w:szCs w:val="21"/>
          <w:lang w:eastAsia="ar-SA"/>
        </w:rPr>
        <w:t xml:space="preserve">Zawiadomienie w drodze obwieszczenia uważa się za dokonane po upływie 14 dni od dnia, w którym nastąpiło obwieszczenie w urzędzie wojewódzkim (art. 12 ust. 2a </w:t>
      </w:r>
      <w:r>
        <w:rPr>
          <w:rFonts w:eastAsia="Times New Roman" w:cs="Times New Roman" w:ascii="Times New Roman" w:hAnsi="Times New Roman"/>
          <w:i/>
          <w:iCs/>
          <w:sz w:val="21"/>
          <w:szCs w:val="21"/>
          <w:lang w:eastAsia="ar-SA"/>
        </w:rPr>
        <w:t>specustawy gazowej</w:t>
      </w:r>
      <w:r>
        <w:rPr>
          <w:rFonts w:eastAsia="Times New Roman" w:cs="Times New Roman" w:ascii="Times New Roman" w:hAnsi="Times New Roman"/>
          <w:iCs/>
          <w:sz w:val="21"/>
          <w:szCs w:val="21"/>
          <w:lang w:eastAsia="ar-SA"/>
        </w:rPr>
        <w:t>).</w:t>
      </w:r>
    </w:p>
    <w:p>
      <w:pPr>
        <w:pStyle w:val="Normal"/>
        <w:numPr>
          <w:ilvl w:val="0"/>
          <w:numId w:val="2"/>
        </w:numPr>
        <w:spacing w:lineRule="auto" w:line="240"/>
        <w:ind w:left="284" w:right="-34" w:hanging="284"/>
        <w:jc w:val="both"/>
        <w:rPr>
          <w:rFonts w:ascii="Times New Roman" w:hAnsi="Times New Roman" w:eastAsia="Times New Roman" w:cs="Times New Roman"/>
          <w:bCs/>
          <w:iCs/>
          <w:sz w:val="21"/>
          <w:szCs w:val="21"/>
          <w:lang w:eastAsia="ar-SA"/>
        </w:rPr>
      </w:pPr>
      <w:r>
        <w:rPr>
          <w:rFonts w:eastAsia="Times New Roman" w:cs="Times New Roman" w:ascii="Times New Roman" w:hAnsi="Times New Roman"/>
          <w:bCs/>
          <w:iCs/>
          <w:sz w:val="21"/>
          <w:szCs w:val="21"/>
          <w:lang w:eastAsia="ar-SA"/>
        </w:rPr>
        <w:t xml:space="preserve">W przedmiotowej sprawie obwieszczenie o wydaniu decyzji zostanie opublikowane na tablicy ogłoszeń Śląskiego Urzędu Wojewódzkiego w dniu </w:t>
      </w:r>
      <w:r>
        <w:rPr>
          <w:rFonts w:eastAsia="Times New Roman" w:cs="Times New Roman" w:ascii="Times New Roman" w:hAnsi="Times New Roman"/>
          <w:b/>
          <w:bCs/>
          <w:iCs/>
          <w:sz w:val="21"/>
          <w:szCs w:val="21"/>
          <w:lang w:eastAsia="ar-SA"/>
        </w:rPr>
        <w:t>17 kwietnia 2024r.</w:t>
      </w:r>
      <w:r>
        <w:rPr>
          <w:rFonts w:eastAsia="Times New Roman" w:cs="Times New Roman" w:ascii="Times New Roman" w:hAnsi="Times New Roman"/>
          <w:bCs/>
          <w:iCs/>
          <w:sz w:val="21"/>
          <w:szCs w:val="21"/>
          <w:lang w:eastAsia="ar-SA"/>
        </w:rPr>
        <w:t xml:space="preserve"> Termin do wniesienia odwołania upływa </w:t>
        <w:br/>
        <w:t xml:space="preserve">28 dnia licząc od dnia publikacji obwieszczenia w Śląskim Urzędzie Wojewódzkim. </w:t>
      </w:r>
    </w:p>
    <w:p>
      <w:pPr>
        <w:pStyle w:val="Normal"/>
        <w:numPr>
          <w:ilvl w:val="0"/>
          <w:numId w:val="2"/>
        </w:numPr>
        <w:spacing w:lineRule="auto" w:line="240"/>
        <w:ind w:left="284" w:right="-3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Wojewoda doręcza decyzję o ustaleniu lokalizacji inwestycji w zakresie terminalu wnioskodawcy oraz zawiadamia pozostałe strony o jej wydaniu, w drodze obwieszczenia, w urzędzie wojewódzkim i urzędach gmin właściwych ze względu na lokalizację inwestycji w zakresie terminalu, w Biuletynie Informacji Publicznej, na stronach podmiotowych urzędów tych gmin oraz urzędu wojewódzkiego, a także w prasie o zasięgu ogólnopolskim. Właścicielom i użytkownikom wieczystym nieruchomości objętych decyzją o ustaleniu lokalizacji inwestycji w zakresie terminalu zawiadomienie o wydaniu decyzji wysyła się na adres określony w katastrze nieruchomości ze skutkiem doręczenia (art. 12 ust. 1 </w:t>
      </w:r>
      <w:r>
        <w:rPr>
          <w:rFonts w:cs="Times New Roman" w:ascii="Times New Roman" w:hAnsi="Times New Roman"/>
          <w:i/>
          <w:sz w:val="21"/>
          <w:szCs w:val="21"/>
        </w:rPr>
        <w:t>specustawy gazowej</w:t>
      </w:r>
      <w:r>
        <w:rPr>
          <w:rFonts w:cs="Times New Roman" w:ascii="Times New Roman" w:hAnsi="Times New Roman"/>
          <w:sz w:val="21"/>
          <w:szCs w:val="21"/>
        </w:rPr>
        <w:t>).</w:t>
      </w:r>
    </w:p>
    <w:p>
      <w:pPr>
        <w:pStyle w:val="Normal"/>
        <w:numPr>
          <w:ilvl w:val="0"/>
          <w:numId w:val="2"/>
        </w:numPr>
        <w:spacing w:lineRule="auto" w:line="240"/>
        <w:ind w:left="284" w:right="-3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Odwołanie od decyzji powinno zawierać zarzuty odnoszące się do decyzji, określać istotę </w:t>
        <w:br/>
        <w:t xml:space="preserve">i zakres żądania będącego przedmiotem odwołania oraz wskazywać dowody uzasadniające to żądanie (art. 34 ust. 3 </w:t>
      </w:r>
      <w:r>
        <w:rPr>
          <w:rFonts w:cs="Times New Roman" w:ascii="Times New Roman" w:hAnsi="Times New Roman"/>
          <w:i/>
          <w:sz w:val="21"/>
          <w:szCs w:val="21"/>
        </w:rPr>
        <w:t>specustawy gazowej</w:t>
      </w:r>
      <w:r>
        <w:rPr>
          <w:rFonts w:cs="Times New Roman" w:ascii="Times New Roman" w:hAnsi="Times New Roman"/>
          <w:sz w:val="21"/>
          <w:szCs w:val="21"/>
        </w:rPr>
        <w:t>).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284" w:right="-3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Przed upływem terminu do wniesienia odwołania strony mogą zrzec się prawa do wniesienia odwołania wobec organu administracji publicznej, który wydał decyzję (art. 127a § 1 </w:t>
      </w:r>
      <w:r>
        <w:rPr>
          <w:rFonts w:cs="Times New Roman" w:ascii="Times New Roman" w:hAnsi="Times New Roman"/>
          <w:i/>
          <w:sz w:val="21"/>
          <w:szCs w:val="21"/>
        </w:rPr>
        <w:t>k.p.a.</w:t>
      </w:r>
      <w:r>
        <w:rPr>
          <w:rFonts w:cs="Times New Roman" w:ascii="Times New Roman" w:hAnsi="Times New Roman"/>
          <w:sz w:val="21"/>
          <w:szCs w:val="21"/>
        </w:rPr>
        <w:t xml:space="preserve">). Jeżeli oświadczenie o zrzeczeniu się prawa do wniesienia odwołania wniosą wszystkie strony postępowania, z dniem doręczenia organowi administracji publicznej tego oświadczenia przez ostatnią ze stron postępowania, decyzja staje się ostateczna i prawomocna (art. 127a § 2 </w:t>
      </w:r>
      <w:r>
        <w:rPr>
          <w:rFonts w:cs="Times New Roman" w:ascii="Times New Roman" w:hAnsi="Times New Roman"/>
          <w:i/>
          <w:sz w:val="21"/>
          <w:szCs w:val="21"/>
        </w:rPr>
        <w:t>k.p.a.</w:t>
      </w:r>
      <w:r>
        <w:rPr>
          <w:rFonts w:cs="Times New Roman" w:ascii="Times New Roman" w:hAnsi="Times New Roman"/>
          <w:sz w:val="21"/>
          <w:szCs w:val="21"/>
        </w:rPr>
        <w:t xml:space="preserve">), zatem nie ma możliwości zaskarżenia jej do Wojewódzkiego Sądu Administracyjnego. </w:t>
      </w:r>
    </w:p>
    <w:p>
      <w:pPr>
        <w:pStyle w:val="Normal"/>
        <w:spacing w:lineRule="auto" w:line="276" w:before="0" w:after="0"/>
        <w:ind w:left="284" w:right="-3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76"/>
        <w:ind w:left="4111" w:hanging="0"/>
        <w:jc w:val="center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Z up. WOJEWODY ŚLĄSKIEGO</w:t>
      </w:r>
    </w:p>
    <w:p>
      <w:pPr>
        <w:pStyle w:val="Normal"/>
        <w:widowControl w:val="false"/>
        <w:spacing w:lineRule="auto" w:line="240" w:before="240" w:after="0"/>
        <w:ind w:left="4111" w:hanging="0"/>
        <w:jc w:val="center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Joanna Lanczek</w:t>
      </w:r>
    </w:p>
    <w:p>
      <w:pPr>
        <w:pStyle w:val="Normal"/>
        <w:widowControl w:val="false"/>
        <w:spacing w:lineRule="auto" w:line="240" w:before="0" w:after="0"/>
        <w:ind w:left="4111" w:hanging="0"/>
        <w:jc w:val="center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Kierownik Oddziału ds. Inwestycji Publicznych</w:t>
      </w:r>
    </w:p>
    <w:p>
      <w:pPr>
        <w:pStyle w:val="Normal"/>
        <w:widowControl w:val="false"/>
        <w:spacing w:lineRule="auto" w:line="240" w:before="0" w:after="0"/>
        <w:ind w:left="4111" w:hanging="0"/>
        <w:jc w:val="center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w Wydziale Infrastruktury</w:t>
      </w:r>
    </w:p>
    <w:p>
      <w:pPr>
        <w:pStyle w:val="Normal"/>
        <w:widowControl w:val="false"/>
        <w:spacing w:lineRule="auto" w:line="240" w:before="0" w:after="0"/>
        <w:ind w:left="4111" w:hanging="0"/>
        <w:jc w:val="center"/>
        <w:rPr>
          <w:rFonts w:ascii="Times New Roman" w:hAnsi="Times New Roman"/>
          <w:iCs/>
          <w:sz w:val="18"/>
        </w:rPr>
      </w:pPr>
      <w:r>
        <w:rPr>
          <w:rFonts w:eastAsia="Calibri" w:cs="Times New Roman" w:ascii="Times New Roman" w:hAnsi="Times New Roman"/>
          <w:sz w:val="18"/>
        </w:rPr>
        <w:t>/</w:t>
      </w:r>
      <w:r>
        <w:rPr>
          <w:rFonts w:eastAsia="Calibri" w:cs="Times New Roman" w:ascii="Times New Roman" w:hAnsi="Times New Roman"/>
          <w:i/>
          <w:sz w:val="18"/>
        </w:rPr>
        <w:t>podpisano kwalifikowanym podpisem elektronicznym</w:t>
      </w:r>
      <w:r>
        <w:rPr>
          <w:rFonts w:eastAsia="Calibri" w:cs="Times New Roman" w:ascii="Times New Roman" w:hAnsi="Times New Roman"/>
          <w:sz w:val="18"/>
        </w:rPr>
        <w:t>/</w:t>
      </w:r>
    </w:p>
    <w:sectPr>
      <w:headerReference w:type="default" r:id="rId2"/>
      <w:headerReference w:type="first" r:id="rId3"/>
      <w:footerReference w:type="default" r:id="rId4"/>
      <w:type w:val="nextPage"/>
      <w:pgSz w:w="11906" w:h="16838"/>
      <w:pgMar w:left="1134" w:right="1416" w:gutter="0" w:header="567" w:top="1304" w:footer="0" w:bottom="1418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IDFont+F2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43225432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Domylnie"/>
      <w:spacing w:before="0" w:after="160"/>
      <w:jc w:val="right"/>
      <w:rPr>
        <w:sz w:val="16"/>
        <w:szCs w:val="16"/>
      </w:rPr>
    </w:pPr>
    <w:r>
      <w:rPr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uppressAutoHyphens w:val="false"/>
      <w:spacing w:lineRule="auto" w:line="240" w:before="60" w:after="120"/>
      <w:ind w:right="68" w:hanging="0"/>
      <w:rPr>
        <w:rFonts w:ascii="Times New Roman" w:hAnsi="Times New Roman" w:eastAsia="Times New Roman" w:cs="Times New Roman"/>
        <w:sz w:val="24"/>
        <w:szCs w:val="24"/>
      </w:rPr>
    </w:pPr>
    <w:r>
      <w:rPr>
        <w:rFonts w:eastAsia="Times New Roman" w:cs="Times New Roman" w:ascii="Times New Roman" w:hAnsi="Times New Roman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60" w:after="0"/>
      <w:ind w:right="68" w:firstLine="708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</w:rPr>
      <w:t xml:space="preserve"> </w:t>
    </w:r>
    <w:r>
      <w:rPr/>
      <w:object>
        <v:shapetype id="_x0000_tole_rId1" coordsize="21600,21600" o:spt="ole_rId1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1" type="_x0000_tole_rId1" style="width:43.5pt;height:42.75pt;mso-wrap-distance-right:0pt" filled="f" o:ole="">
          <v:imagedata r:id="rId2" o:title=""/>
        </v:shape>
        <o:OLEObject Type="Embed" ProgID="Paint.Picture" ShapeID="ole_rId1" DrawAspect="Content" ObjectID="_278862931" r:id="rId1"/>
      </w:object>
    </w:r>
  </w:p>
  <w:p>
    <w:pPr>
      <w:pStyle w:val="Normal"/>
      <w:spacing w:before="60" w:after="0"/>
      <w:ind w:right="68" w:hanging="0"/>
      <w:rPr>
        <w:rFonts w:ascii="Times New Roman" w:hAnsi="Times New Roman" w:cs="Times New Roman"/>
      </w:rPr>
    </w:pPr>
    <w:r>
      <w:rPr>
        <w:rFonts w:cs="Times New Roman" w:ascii="Times New Roman" w:hAnsi="Times New Roman"/>
        <w:sz w:val="24"/>
        <w:szCs w:val="24"/>
      </w:rPr>
      <w:t>WOJEWODA ŚLĄSKI</w:t>
      <w:tab/>
      <w:tab/>
      <w:tab/>
      <w:tab/>
      <w:tab/>
      <w:tab/>
      <w:tab/>
    </w:r>
    <w:r>
      <w:rPr>
        <w:rFonts w:cs="Times New Roman" w:ascii="Times New Roman" w:hAnsi="Times New Roman"/>
      </w:rPr>
      <w:t xml:space="preserve">Katowice, </w:t>
    </w:r>
    <w:bookmarkStart w:id="1" w:name="EzdDataPodpisu"/>
    <w:r>
      <w:rPr>
        <w:rFonts w:cs="Times New Roman" w:ascii="Times New Roman" w:hAnsi="Times New Roman"/>
      </w:rPr>
      <w:t>15-04-2024</w:t>
    </w:r>
    <w:bookmarkEnd w:id="1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703b6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2c20eb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qFormat/>
    <w:rsid w:val="00aa2dd2"/>
    <w:pPr>
      <w:suppressAutoHyphens w:val="false"/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bb49d4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Pr>
      <w:rFonts w:cs="Times New Roman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Pr>
      <w:rFonts w:cs="Times New Roman"/>
      <w:sz w:val="24"/>
    </w:rPr>
  </w:style>
  <w:style w:type="character" w:styleId="Czeinternetowe" w:customStyle="1">
    <w:name w:val="Hyperlink"/>
    <w:basedOn w:val="DefaultParagraphFont"/>
    <w:rPr>
      <w:rFonts w:cs="Times New Roman"/>
      <w:color w:val="0000FF"/>
      <w:u w:val="single"/>
      <w:lang w:val="pl-PL" w:eastAsia="pl-PL" w:bidi="pl-PL"/>
    </w:rPr>
  </w:style>
  <w:style w:type="character" w:styleId="Mocnowyrniony" w:customStyle="1">
    <w:name w:val="Mocno wyróżniony"/>
    <w:basedOn w:val="DefaultParagraphFont"/>
    <w:qFormat/>
    <w:rPr>
      <w:rFonts w:cs="Times New Roman"/>
      <w:b/>
      <w:bCs/>
    </w:rPr>
  </w:style>
  <w:style w:type="character" w:styleId="TekstdymkaZnak" w:customStyle="1">
    <w:name w:val="Tekst dymka Znak"/>
    <w:basedOn w:val="DefaultParagraphFont"/>
    <w:qFormat/>
    <w:rPr>
      <w:rFonts w:ascii="Tahoma" w:hAnsi="Tahoma" w:cs="Times New Roman"/>
      <w:sz w:val="16"/>
    </w:rPr>
  </w:style>
  <w:style w:type="character" w:styleId="H2" w:customStyle="1">
    <w:name w:val="h2"/>
    <w:basedOn w:val="DefaultParagraphFont"/>
    <w:qFormat/>
    <w:rPr>
      <w:rFonts w:cs="Times New Roman"/>
    </w:rPr>
  </w:style>
  <w:style w:type="character" w:styleId="Highlight1" w:customStyle="1">
    <w:name w:val="highlight1"/>
    <w:qFormat/>
    <w:rPr>
      <w:b/>
    </w:rPr>
  </w:style>
  <w:style w:type="character" w:styleId="TekstpodstawowyZnak" w:customStyle="1">
    <w:name w:val="Tekst podstawowy Znak"/>
    <w:basedOn w:val="DefaultParagraphFont"/>
    <w:qFormat/>
    <w:rPr>
      <w:rFonts w:eastAsia="Arial Unicode MS" w:cs="Times New Roman"/>
      <w:sz w:val="24"/>
      <w:lang w:eastAsia="ar-SA" w:bidi="ar-SA"/>
    </w:rPr>
  </w:style>
  <w:style w:type="character" w:styleId="Teksttreci2" w:customStyle="1">
    <w:name w:val="Tekst treści (2)_"/>
    <w:qFormat/>
    <w:rPr>
      <w:shd w:fill="FFFFFF" w:val="clear"/>
    </w:rPr>
  </w:style>
  <w:style w:type="character" w:styleId="TekstpodstawowyZnak1" w:customStyle="1">
    <w:name w:val="Tekst podstawowy Znak1"/>
    <w:basedOn w:val="DefaultParagraphFont"/>
    <w:uiPriority w:val="99"/>
    <w:semiHidden/>
    <w:qFormat/>
    <w:rsid w:val="00893d1f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c13c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2c13c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c13c8"/>
    <w:rPr>
      <w:b/>
      <w:bCs/>
      <w:sz w:val="20"/>
      <w:szCs w:val="20"/>
    </w:rPr>
  </w:style>
  <w:style w:type="character" w:styleId="Nagwek2Znak" w:customStyle="1">
    <w:name w:val="Nagłówek 2 Znak"/>
    <w:basedOn w:val="DefaultParagraphFont"/>
    <w:uiPriority w:val="9"/>
    <w:qFormat/>
    <w:rsid w:val="00aa2dd2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Nagwek1Znak" w:customStyle="1">
    <w:name w:val="Nagłówek 1 Znak"/>
    <w:basedOn w:val="DefaultParagraphFont"/>
    <w:uiPriority w:val="9"/>
    <w:qFormat/>
    <w:rsid w:val="002c20eb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Fontstyle01" w:customStyle="1">
    <w:name w:val="fontstyle01"/>
    <w:qFormat/>
    <w:rsid w:val="008b3869"/>
    <w:rPr>
      <w:rFonts w:ascii="CIDFont+F2" w:hAnsi="CIDFont+F2"/>
      <w:b w:val="false"/>
      <w:bCs w:val="false"/>
      <w:i w:val="false"/>
      <w:iCs w:val="false"/>
      <w:color w:val="000000"/>
      <w:sz w:val="16"/>
      <w:szCs w:val="16"/>
    </w:rPr>
  </w:style>
  <w:style w:type="character" w:styleId="Nagwek3Znak" w:customStyle="1">
    <w:name w:val="Nagłówek 3 Znak"/>
    <w:basedOn w:val="DefaultParagraphFont"/>
    <w:uiPriority w:val="9"/>
    <w:semiHidden/>
    <w:qFormat/>
    <w:rsid w:val="00bb49d4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AkapitzlistZnak" w:customStyle="1">
    <w:name w:val="Akapit z listą Znak"/>
    <w:link w:val="ListParagraph"/>
    <w:uiPriority w:val="34"/>
    <w:qFormat/>
    <w:locked/>
    <w:rsid w:val="00cc1e69"/>
    <w:rPr>
      <w:rFonts w:eastAsia="Calibri" w:eastAsiaTheme="minorHAnsi"/>
      <w:sz w:val="22"/>
      <w:lang w:eastAsia="en-US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cc1e69"/>
    <w:rPr>
      <w:szCs w:val="20"/>
    </w:rPr>
  </w:style>
  <w:style w:type="character" w:styleId="Znakiprzypiswdolnych">
    <w:name w:val="Znaki przypisów dolnych"/>
    <w:uiPriority w:val="99"/>
    <w:unhideWhenUsed/>
    <w:qFormat/>
    <w:rsid w:val="00cc1e69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rsid w:val="00893d1f"/>
    <w:pPr>
      <w:widowControl w:val="false"/>
      <w:spacing w:lineRule="auto" w:line="240" w:before="0" w:after="120"/>
    </w:pPr>
    <w:rPr>
      <w:rFonts w:eastAsia="Arial Unicode MS" w:cs="Times New Roman"/>
      <w:sz w:val="24"/>
      <w:lang w:eastAsia="ar-SA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Domylnie"/>
    <w:qFormat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Domylnie"/>
    <w:next w:val="Tretekstu"/>
    <w:uiPriority w:val="99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Domylnie" w:customStyle="1">
    <w:name w:val="Domyślnie"/>
    <w:qFormat/>
    <w:pPr>
      <w:widowControl/>
      <w:tabs>
        <w:tab w:val="clear" w:pos="709"/>
        <w:tab w:val="left" w:pos="708" w:leader="none"/>
      </w:tabs>
      <w:suppressAutoHyphens w:val="true"/>
      <w:bidi w:val="0"/>
      <w:spacing w:lineRule="auto" w:line="259" w:before="0" w:after="16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Sygnatura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Domylnie"/>
    <w:uiPriority w:val="99"/>
    <w:pPr>
      <w:suppressLineNumbers/>
      <w:tabs>
        <w:tab w:val="left" w:pos="708" w:leader="none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Domylnie"/>
    <w:qFormat/>
    <w:pPr/>
    <w:rPr>
      <w:rFonts w:ascii="Tahoma" w:hAnsi="Tahoma" w:cs="Tahoma"/>
      <w:sz w:val="17"/>
      <w:szCs w:val="17"/>
    </w:rPr>
  </w:style>
  <w:style w:type="paragraph" w:styleId="Tekstpodstawowy21" w:customStyle="1">
    <w:name w:val="Tekst podstawowy 21"/>
    <w:basedOn w:val="Domylnie"/>
    <w:qFormat/>
    <w:pPr>
      <w:widowControl w:val="false"/>
      <w:jc w:val="both"/>
    </w:pPr>
    <w:rPr>
      <w:rFonts w:ascii="Arial" w:hAnsi="Arial" w:eastAsia="Arial Unicode MS" w:cs="Arial"/>
      <w:lang w:eastAsia="ar-SA"/>
    </w:rPr>
  </w:style>
  <w:style w:type="paragraph" w:styleId="BalloonText">
    <w:name w:val="Balloon Text"/>
    <w:basedOn w:val="Domylnie"/>
    <w:qFormat/>
    <w:pPr/>
    <w:rPr>
      <w:rFonts w:ascii="Tahoma" w:hAnsi="Tahoma"/>
      <w:sz w:val="16"/>
      <w:szCs w:val="16"/>
    </w:rPr>
  </w:style>
  <w:style w:type="paragraph" w:styleId="Envelopeaddress">
    <w:name w:val="envelope address"/>
    <w:basedOn w:val="Domylnie"/>
    <w:qFormat/>
    <w:pPr>
      <w:ind w:left="2880" w:hanging="0"/>
    </w:pPr>
    <w:rPr>
      <w:rFonts w:ascii="Arial" w:hAnsi="Arial" w:cs="Arial"/>
    </w:rPr>
  </w:style>
  <w:style w:type="paragraph" w:styleId="Teksttreci21" w:customStyle="1">
    <w:name w:val="Tekst treści (2)"/>
    <w:basedOn w:val="Domylnie"/>
    <w:qFormat/>
    <w:pPr>
      <w:widowControl w:val="false"/>
      <w:shd w:val="clear" w:color="auto" w:fill="FFFFFF"/>
      <w:spacing w:lineRule="exact" w:line="266"/>
      <w:ind w:hanging="360"/>
    </w:pPr>
    <w:rPr>
      <w:sz w:val="22"/>
      <w:szCs w:val="22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2c13c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2c13c8"/>
    <w:pPr/>
    <w:rPr>
      <w:b/>
      <w:bCs/>
    </w:rPr>
  </w:style>
  <w:style w:type="paragraph" w:styleId="ListParagraph">
    <w:name w:val="List Paragraph"/>
    <w:basedOn w:val="Normal"/>
    <w:link w:val="AkapitzlistZnak"/>
    <w:uiPriority w:val="34"/>
    <w:qFormat/>
    <w:rsid w:val="001d107c"/>
    <w:pPr>
      <w:spacing w:lineRule="auto" w:line="276" w:before="0" w:after="200"/>
      <w:ind w:left="720" w:hanging="0"/>
      <w:contextualSpacing/>
    </w:pPr>
    <w:rPr>
      <w:rFonts w:eastAsia="Calibri" w:eastAsiaTheme="minorHAnsi"/>
      <w:lang w:eastAsia="en-US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cc1e69"/>
    <w:pPr>
      <w:suppressAutoHyphens w:val="false"/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104a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Siatkatabelijasna1">
    <w:name w:val="Siatka tabeli — jasna1"/>
    <w:basedOn w:val="TableNormal"/>
    <w:uiPriority w:val="99"/>
    <w:rsid w:val="002a379f"/>
    <w:tblPr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</w:style>
  <w:style w:type="table" w:customStyle="1" w:styleId="Zwykatabela11">
    <w:name w:val="Zwykła tabela 11"/>
    <w:basedOn w:val="TableNormal"/>
    <w:uiPriority w:val="99"/>
    <w:rsid w:val="002a379f"/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41">
    <w:name w:val="Zwykła tabela 41"/>
    <w:basedOn w:val="TableNormal"/>
    <w:uiPriority w:val="99"/>
    <w:rsid w:val="002a379f"/>
    <w:tblPr>
      <w:tblStyleRowBandSize w:val="1"/>
      <w:tblStyleColBandSize w:val="1"/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7A1C0-5F3B-4E50-90C9-D39E92DFF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LibreOffice/7.5.3.2$Windows_X86_64 LibreOffice_project/9f56dff12ba03b9acd7730a5a481eea045e468f3</Application>
  <AppVersion>15.0000</AppVersion>
  <Pages>2</Pages>
  <Words>984</Words>
  <Characters>5575</Characters>
  <CharactersWithSpaces>6541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2024-04-15T08:00:00Z</dcterms:created>
  <dc:creator>budekk</dc:creator>
  <dc:description/>
  <dc:language>pl-PL</dc:language>
  <cp:lastModifiedBy>Lanczek Joanna</cp:lastModifiedBy>
  <cp:lastPrinted>2017-07-10T07:27:00Z</cp:lastPrinted>
  <dcterms:modified xsi:type="dcterms:W3CDTF">2024-04-15T13:26:00Z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